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53F2F">
      <w:pPr>
        <w:pStyle w:val="31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产品开发 - 落地流程自动化需求信息收集表</w:t>
      </w:r>
    </w:p>
    <w:p w14:paraId="0B24B7A9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 xml:space="preserve">填写人：王健豪| 日期：2026 年 3 月 3 日 </w:t>
      </w:r>
      <w:bookmarkStart w:id="0" w:name="_GoBack"/>
      <w:bookmarkEnd w:id="0"/>
    </w:p>
    <w:p w14:paraId="41AFC739">
      <w:pPr>
        <w:pStyle w:val="3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一、完整开发流程（</w:t>
      </w:r>
      <w:r>
        <w:rPr>
          <w:rFonts w:hint="eastAsia" w:ascii="苹方" w:hAnsi="苹方" w:eastAsia="苹方" w:cs="苹方"/>
          <w:lang w:val="en-US" w:eastAsia="zh-CN"/>
        </w:rPr>
        <w:t>9</w:t>
      </w:r>
      <w:r>
        <w:rPr>
          <w:rFonts w:hint="eastAsia" w:ascii="苹方" w:hAnsi="苹方" w:eastAsia="苹方" w:cs="苹方"/>
        </w:rPr>
        <w:t xml:space="preserve"> 个节点）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265"/>
        <w:gridCol w:w="1265"/>
        <w:gridCol w:w="1265"/>
        <w:gridCol w:w="1265"/>
        <w:gridCol w:w="1265"/>
        <w:gridCol w:w="1265"/>
      </w:tblGrid>
      <w:tr w14:paraId="0B8A2288">
        <w:tc>
          <w:tcPr>
            <w:tcW w:w="1265" w:type="dxa"/>
          </w:tcPr>
          <w:p w14:paraId="4D012E80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</w:rPr>
              <w:t>流程</w:t>
            </w:r>
          </w:p>
        </w:tc>
        <w:tc>
          <w:tcPr>
            <w:tcW w:w="1265" w:type="dxa"/>
          </w:tcPr>
          <w:p w14:paraId="01482913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</w:rPr>
              <w:t>负责人</w:t>
            </w:r>
          </w:p>
        </w:tc>
        <w:tc>
          <w:tcPr>
            <w:tcW w:w="1265" w:type="dxa"/>
          </w:tcPr>
          <w:p w14:paraId="0786ECC0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  <w:lang w:eastAsia="zh-CN"/>
              </w:rPr>
            </w:pPr>
            <w:r>
              <w:rPr>
                <w:rFonts w:hint="eastAsia" w:ascii="苹方" w:hAnsi="苹方" w:eastAsia="苹方" w:cs="苹方"/>
                <w:b/>
                <w:lang w:val="en-US" w:eastAsia="zh-CN"/>
              </w:rPr>
              <w:t>耗时</w:t>
            </w:r>
          </w:p>
        </w:tc>
        <w:tc>
          <w:tcPr>
            <w:tcW w:w="1265" w:type="dxa"/>
          </w:tcPr>
          <w:p w14:paraId="23AD459C">
            <w:pPr>
              <w:spacing w:after="0" w:line="240" w:lineRule="auto"/>
              <w:jc w:val="center"/>
              <w:rPr>
                <w:rFonts w:hint="default" w:ascii="苹方" w:hAnsi="苹方" w:eastAsia="苹方" w:cs="苹方"/>
                <w:b/>
                <w:lang w:val="en-US" w:eastAsia="zh-CN"/>
              </w:rPr>
            </w:pPr>
            <w:r>
              <w:rPr>
                <w:rFonts w:hint="eastAsia" w:ascii="苹方" w:hAnsi="苹方" w:eastAsia="苹方" w:cs="苹方"/>
                <w:b/>
                <w:lang w:val="en-US" w:eastAsia="zh-CN"/>
              </w:rPr>
              <w:t>超期率</w:t>
            </w:r>
          </w:p>
        </w:tc>
        <w:tc>
          <w:tcPr>
            <w:tcW w:w="1265" w:type="dxa"/>
          </w:tcPr>
          <w:p w14:paraId="437CD377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</w:rPr>
              <w:t>审批</w:t>
            </w:r>
          </w:p>
        </w:tc>
        <w:tc>
          <w:tcPr>
            <w:tcW w:w="1265" w:type="dxa"/>
          </w:tcPr>
          <w:p w14:paraId="73088B11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</w:rPr>
              <w:t>完成标志</w:t>
            </w:r>
          </w:p>
        </w:tc>
        <w:tc>
          <w:tcPr>
            <w:tcW w:w="1265" w:type="dxa"/>
          </w:tcPr>
          <w:p w14:paraId="0F7DD82C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</w:rPr>
              <w:t>提醒规则</w:t>
            </w:r>
          </w:p>
        </w:tc>
      </w:tr>
      <w:tr w14:paraId="59D6438A">
        <w:trPr>
          <w:trHeight w:val="478" w:hRule="atLeast"/>
        </w:trPr>
        <w:tc>
          <w:tcPr>
            <w:tcW w:w="1265" w:type="dxa"/>
          </w:tcPr>
          <w:p w14:paraId="50A8D4A5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市场调研</w:t>
            </w:r>
          </w:p>
        </w:tc>
        <w:tc>
          <w:tcPr>
            <w:tcW w:w="1265" w:type="dxa"/>
          </w:tcPr>
          <w:p w14:paraId="7542ED59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产品开发</w:t>
            </w:r>
          </w:p>
        </w:tc>
        <w:tc>
          <w:tcPr>
            <w:tcW w:w="1265" w:type="dxa"/>
          </w:tcPr>
          <w:p w14:paraId="2EDDC222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3-5 天</w:t>
            </w:r>
          </w:p>
        </w:tc>
        <w:tc>
          <w:tcPr>
            <w:tcW w:w="1265" w:type="dxa"/>
          </w:tcPr>
          <w:p w14:paraId="68276BD8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</w:p>
        </w:tc>
        <w:tc>
          <w:tcPr>
            <w:tcW w:w="1265" w:type="dxa"/>
          </w:tcPr>
          <w:p w14:paraId="5C4CD3D1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否</w:t>
            </w:r>
          </w:p>
        </w:tc>
        <w:tc>
          <w:tcPr>
            <w:tcW w:w="1265" w:type="dxa"/>
          </w:tcPr>
          <w:p w14:paraId="4B50828E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调研报告</w:t>
            </w:r>
          </w:p>
        </w:tc>
        <w:tc>
          <w:tcPr>
            <w:tcW w:w="1265" w:type="dxa"/>
          </w:tcPr>
          <w:p w14:paraId="5C17F624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超 5 天提醒</w:t>
            </w:r>
          </w:p>
        </w:tc>
      </w:tr>
      <w:tr w14:paraId="4A8372A5">
        <w:trPr>
          <w:trHeight w:val="667" w:hRule="atLeast"/>
        </w:trPr>
        <w:tc>
          <w:tcPr>
            <w:tcW w:w="1265" w:type="dxa"/>
          </w:tcPr>
          <w:p w14:paraId="7EF8CC49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选品立项</w:t>
            </w:r>
          </w:p>
        </w:tc>
        <w:tc>
          <w:tcPr>
            <w:tcW w:w="1265" w:type="dxa"/>
          </w:tcPr>
          <w:p w14:paraId="11EB7275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产品开发 + 老板</w:t>
            </w:r>
          </w:p>
        </w:tc>
        <w:tc>
          <w:tcPr>
            <w:tcW w:w="1265" w:type="dxa"/>
          </w:tcPr>
          <w:p w14:paraId="2C216AC2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1-2 天</w:t>
            </w:r>
          </w:p>
        </w:tc>
        <w:tc>
          <w:tcPr>
            <w:tcW w:w="1265" w:type="dxa"/>
          </w:tcPr>
          <w:p w14:paraId="3A80A57D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</w:p>
        </w:tc>
        <w:tc>
          <w:tcPr>
            <w:tcW w:w="1265" w:type="dxa"/>
          </w:tcPr>
          <w:p w14:paraId="5C50BD72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是</w:t>
            </w:r>
          </w:p>
        </w:tc>
        <w:tc>
          <w:tcPr>
            <w:tcW w:w="1265" w:type="dxa"/>
          </w:tcPr>
          <w:p w14:paraId="2A018755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立项签字</w:t>
            </w:r>
          </w:p>
        </w:tc>
        <w:tc>
          <w:tcPr>
            <w:tcW w:w="1265" w:type="dxa"/>
          </w:tcPr>
          <w:p w14:paraId="313601C9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24h 未批提醒</w:t>
            </w:r>
          </w:p>
        </w:tc>
      </w:tr>
      <w:tr w14:paraId="5EC28347">
        <w:trPr>
          <w:trHeight w:val="425" w:hRule="atLeast"/>
        </w:trPr>
        <w:tc>
          <w:tcPr>
            <w:tcW w:w="1265" w:type="dxa"/>
          </w:tcPr>
          <w:p w14:paraId="739B4B99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  <w:lang w:val="en-US" w:eastAsia="zh-CN"/>
              </w:rPr>
            </w:pPr>
            <w:r>
              <w:rPr>
                <w:rFonts w:hint="eastAsia" w:ascii="苹方" w:hAnsi="苹方" w:eastAsia="苹方" w:cs="苹方"/>
              </w:rPr>
              <w:t>设计</w:t>
            </w:r>
            <w:r>
              <w:rPr>
                <w:rFonts w:hint="eastAsia" w:ascii="苹方" w:hAnsi="苹方" w:eastAsia="苹方" w:cs="苹方"/>
                <w:lang w:val="en-US" w:eastAsia="zh-CN"/>
              </w:rPr>
              <w:t>立项</w:t>
            </w:r>
          </w:p>
        </w:tc>
        <w:tc>
          <w:tcPr>
            <w:tcW w:w="1265" w:type="dxa"/>
          </w:tcPr>
          <w:p w14:paraId="7D8CAB75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设计部</w:t>
            </w:r>
          </w:p>
        </w:tc>
        <w:tc>
          <w:tcPr>
            <w:tcW w:w="1265" w:type="dxa"/>
          </w:tcPr>
          <w:p w14:paraId="43FC4D9A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lang w:val="en-US" w:eastAsia="zh-CN"/>
              </w:rPr>
              <w:t>3-5</w:t>
            </w:r>
            <w:r>
              <w:rPr>
                <w:rFonts w:hint="eastAsia" w:ascii="苹方" w:hAnsi="苹方" w:eastAsia="苹方" w:cs="苹方"/>
              </w:rPr>
              <w:t>天</w:t>
            </w:r>
          </w:p>
        </w:tc>
        <w:tc>
          <w:tcPr>
            <w:tcW w:w="1265" w:type="dxa"/>
          </w:tcPr>
          <w:p w14:paraId="38ED8680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</w:p>
        </w:tc>
        <w:tc>
          <w:tcPr>
            <w:tcW w:w="1265" w:type="dxa"/>
          </w:tcPr>
          <w:p w14:paraId="6D6BD5DC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是</w:t>
            </w:r>
          </w:p>
        </w:tc>
        <w:tc>
          <w:tcPr>
            <w:tcW w:w="1265" w:type="dxa"/>
          </w:tcPr>
          <w:p w14:paraId="361A1578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  <w:lang w:val="en-US" w:eastAsia="zh-CN"/>
              </w:rPr>
            </w:pPr>
            <w:r>
              <w:rPr>
                <w:rFonts w:hint="eastAsia" w:ascii="苹方" w:hAnsi="苹方" w:eastAsia="苹方" w:cs="苹方"/>
              </w:rPr>
              <w:t>设计稿</w:t>
            </w:r>
            <w:r>
              <w:rPr>
                <w:rFonts w:hint="eastAsia" w:ascii="苹方" w:hAnsi="苹方" w:eastAsia="苹方" w:cs="苹方"/>
                <w:lang w:val="en-US" w:eastAsia="zh-CN"/>
              </w:rPr>
              <w:t>文件</w:t>
            </w:r>
          </w:p>
        </w:tc>
        <w:tc>
          <w:tcPr>
            <w:tcW w:w="1265" w:type="dxa"/>
          </w:tcPr>
          <w:p w14:paraId="2CBDCC51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 xml:space="preserve">超 </w:t>
            </w:r>
            <w:r>
              <w:rPr>
                <w:rFonts w:hint="eastAsia" w:ascii="苹方" w:hAnsi="苹方" w:eastAsia="苹方" w:cs="苹方"/>
                <w:lang w:val="en-US" w:eastAsia="zh-CN"/>
              </w:rPr>
              <w:t>5</w:t>
            </w:r>
            <w:r>
              <w:rPr>
                <w:rFonts w:hint="eastAsia" w:ascii="苹方" w:hAnsi="苹方" w:eastAsia="苹方" w:cs="苹方"/>
              </w:rPr>
              <w:t>天提醒</w:t>
            </w:r>
          </w:p>
        </w:tc>
      </w:tr>
      <w:tr w14:paraId="7057EC91">
        <w:trPr>
          <w:trHeight w:val="807" w:hRule="atLeast"/>
        </w:trPr>
        <w:tc>
          <w:tcPr>
            <w:tcW w:w="1265" w:type="dxa"/>
          </w:tcPr>
          <w:p w14:paraId="41FCFB1D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打样</w:t>
            </w:r>
          </w:p>
        </w:tc>
        <w:tc>
          <w:tcPr>
            <w:tcW w:w="1265" w:type="dxa"/>
          </w:tcPr>
          <w:p w14:paraId="1CE57197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采购</w:t>
            </w:r>
          </w:p>
        </w:tc>
        <w:tc>
          <w:tcPr>
            <w:tcW w:w="1265" w:type="dxa"/>
          </w:tcPr>
          <w:p w14:paraId="60C40B66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7-15 天</w:t>
            </w:r>
          </w:p>
        </w:tc>
        <w:tc>
          <w:tcPr>
            <w:tcW w:w="1265" w:type="dxa"/>
          </w:tcPr>
          <w:p w14:paraId="25D54FF8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</w:p>
        </w:tc>
        <w:tc>
          <w:tcPr>
            <w:tcW w:w="1265" w:type="dxa"/>
          </w:tcPr>
          <w:p w14:paraId="0520444C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是</w:t>
            </w:r>
          </w:p>
        </w:tc>
        <w:tc>
          <w:tcPr>
            <w:tcW w:w="1265" w:type="dxa"/>
          </w:tcPr>
          <w:p w14:paraId="05E74F25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样品签字</w:t>
            </w:r>
          </w:p>
        </w:tc>
        <w:tc>
          <w:tcPr>
            <w:tcW w:w="1265" w:type="dxa"/>
          </w:tcPr>
          <w:p w14:paraId="7D99EC2A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7/12/15 天分级</w:t>
            </w:r>
          </w:p>
        </w:tc>
      </w:tr>
      <w:tr w14:paraId="28211943">
        <w:tc>
          <w:tcPr>
            <w:tcW w:w="1265" w:type="dxa"/>
          </w:tcPr>
          <w:p w14:paraId="676674F2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测试</w:t>
            </w:r>
          </w:p>
        </w:tc>
        <w:tc>
          <w:tcPr>
            <w:tcW w:w="1265" w:type="dxa"/>
          </w:tcPr>
          <w:p w14:paraId="08B646E3">
            <w:pPr>
              <w:spacing w:after="0" w:line="240" w:lineRule="auto"/>
              <w:jc w:val="center"/>
              <w:rPr>
                <w:rFonts w:hint="default" w:ascii="苹方" w:hAnsi="苹方" w:eastAsia="苹方" w:cs="苹方"/>
                <w:lang w:val="en-US" w:eastAsia="zh-CN"/>
              </w:rPr>
            </w:pPr>
            <w:r>
              <w:rPr>
                <w:rFonts w:hint="eastAsia" w:ascii="苹方" w:hAnsi="苹方" w:eastAsia="苹方" w:cs="苹方"/>
                <w:lang w:val="en-US" w:eastAsia="zh-CN"/>
              </w:rPr>
              <w:t>采购/+产品开发</w:t>
            </w:r>
          </w:p>
        </w:tc>
        <w:tc>
          <w:tcPr>
            <w:tcW w:w="1265" w:type="dxa"/>
          </w:tcPr>
          <w:p w14:paraId="48E387CD">
            <w:pPr>
              <w:spacing w:after="0" w:line="240" w:lineRule="auto"/>
              <w:jc w:val="center"/>
              <w:rPr>
                <w:rFonts w:hint="default" w:ascii="苹方" w:hAnsi="苹方" w:eastAsia="苹方" w:cs="苹方"/>
                <w:lang w:val="en-US" w:eastAsia="zh-CN"/>
              </w:rPr>
            </w:pPr>
            <w:r>
              <w:rPr>
                <w:rFonts w:hint="eastAsia" w:ascii="苹方" w:hAnsi="苹方" w:eastAsia="苹方" w:cs="苹方"/>
                <w:lang w:val="en-US" w:eastAsia="zh-CN"/>
              </w:rPr>
              <w:t>1-2</w:t>
            </w:r>
          </w:p>
        </w:tc>
        <w:tc>
          <w:tcPr>
            <w:tcW w:w="1265" w:type="dxa"/>
          </w:tcPr>
          <w:p w14:paraId="696A068B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</w:p>
        </w:tc>
        <w:tc>
          <w:tcPr>
            <w:tcW w:w="1265" w:type="dxa"/>
          </w:tcPr>
          <w:p w14:paraId="63FEB536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否</w:t>
            </w:r>
          </w:p>
        </w:tc>
        <w:tc>
          <w:tcPr>
            <w:tcW w:w="1265" w:type="dxa"/>
          </w:tcPr>
          <w:p w14:paraId="53248783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测试报告</w:t>
            </w:r>
          </w:p>
        </w:tc>
        <w:tc>
          <w:tcPr>
            <w:tcW w:w="1265" w:type="dxa"/>
          </w:tcPr>
          <w:p w14:paraId="7250062C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 xml:space="preserve">超 </w:t>
            </w:r>
            <w:r>
              <w:rPr>
                <w:rFonts w:hint="eastAsia" w:ascii="苹方" w:hAnsi="苹方" w:eastAsia="苹方" w:cs="苹方"/>
                <w:lang w:val="en-US" w:eastAsia="zh-CN"/>
              </w:rPr>
              <w:t>2</w:t>
            </w:r>
            <w:r>
              <w:rPr>
                <w:rFonts w:hint="eastAsia" w:ascii="苹方" w:hAnsi="苹方" w:eastAsia="苹方" w:cs="苹方"/>
              </w:rPr>
              <w:t xml:space="preserve"> 天提醒</w:t>
            </w:r>
          </w:p>
        </w:tc>
      </w:tr>
      <w:tr w14:paraId="47E7DE0C">
        <w:tc>
          <w:tcPr>
            <w:tcW w:w="1265" w:type="dxa"/>
          </w:tcPr>
          <w:p w14:paraId="50964B8B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下单生产</w:t>
            </w:r>
          </w:p>
        </w:tc>
        <w:tc>
          <w:tcPr>
            <w:tcW w:w="1265" w:type="dxa"/>
          </w:tcPr>
          <w:p w14:paraId="00F312FA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采购</w:t>
            </w:r>
          </w:p>
        </w:tc>
        <w:tc>
          <w:tcPr>
            <w:tcW w:w="1265" w:type="dxa"/>
          </w:tcPr>
          <w:p w14:paraId="12ED4A2F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1 天</w:t>
            </w:r>
          </w:p>
        </w:tc>
        <w:tc>
          <w:tcPr>
            <w:tcW w:w="1265" w:type="dxa"/>
          </w:tcPr>
          <w:p w14:paraId="7F92D321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</w:p>
        </w:tc>
        <w:tc>
          <w:tcPr>
            <w:tcW w:w="1265" w:type="dxa"/>
          </w:tcPr>
          <w:p w14:paraId="4C09FD81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是</w:t>
            </w:r>
          </w:p>
        </w:tc>
        <w:tc>
          <w:tcPr>
            <w:tcW w:w="1265" w:type="dxa"/>
          </w:tcPr>
          <w:p w14:paraId="55A8FF1F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合同签署</w:t>
            </w:r>
          </w:p>
        </w:tc>
        <w:tc>
          <w:tcPr>
            <w:tcW w:w="1265" w:type="dxa"/>
          </w:tcPr>
          <w:p w14:paraId="07578F92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24h 未批提醒</w:t>
            </w:r>
          </w:p>
        </w:tc>
      </w:tr>
      <w:tr w14:paraId="4E35F9F6">
        <w:tc>
          <w:tcPr>
            <w:tcW w:w="1265" w:type="dxa"/>
          </w:tcPr>
          <w:p w14:paraId="66EA4C90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生产跟进</w:t>
            </w:r>
          </w:p>
        </w:tc>
        <w:tc>
          <w:tcPr>
            <w:tcW w:w="1265" w:type="dxa"/>
          </w:tcPr>
          <w:p w14:paraId="2121BFA1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采购 + 质检</w:t>
            </w:r>
          </w:p>
        </w:tc>
        <w:tc>
          <w:tcPr>
            <w:tcW w:w="1265" w:type="dxa"/>
          </w:tcPr>
          <w:p w14:paraId="54BC7441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15-30 天</w:t>
            </w:r>
          </w:p>
        </w:tc>
        <w:tc>
          <w:tcPr>
            <w:tcW w:w="1265" w:type="dxa"/>
          </w:tcPr>
          <w:p w14:paraId="1A9EAB50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</w:p>
        </w:tc>
        <w:tc>
          <w:tcPr>
            <w:tcW w:w="1265" w:type="dxa"/>
          </w:tcPr>
          <w:p w14:paraId="2491C65A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否</w:t>
            </w:r>
          </w:p>
        </w:tc>
        <w:tc>
          <w:tcPr>
            <w:tcW w:w="1265" w:type="dxa"/>
          </w:tcPr>
          <w:p w14:paraId="5D1159CD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进度更新</w:t>
            </w:r>
          </w:p>
        </w:tc>
        <w:tc>
          <w:tcPr>
            <w:tcW w:w="1265" w:type="dxa"/>
          </w:tcPr>
          <w:p w14:paraId="4B26C580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7 天未更标红</w:t>
            </w:r>
          </w:p>
        </w:tc>
      </w:tr>
      <w:tr w14:paraId="6D140638">
        <w:tc>
          <w:tcPr>
            <w:tcW w:w="1265" w:type="dxa"/>
          </w:tcPr>
          <w:p w14:paraId="1B607FA1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质检验货</w:t>
            </w:r>
          </w:p>
        </w:tc>
        <w:tc>
          <w:tcPr>
            <w:tcW w:w="1265" w:type="dxa"/>
          </w:tcPr>
          <w:p w14:paraId="6AB31C99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质检</w:t>
            </w:r>
          </w:p>
        </w:tc>
        <w:tc>
          <w:tcPr>
            <w:tcW w:w="1265" w:type="dxa"/>
          </w:tcPr>
          <w:p w14:paraId="693C4F4E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2-3 天</w:t>
            </w:r>
          </w:p>
        </w:tc>
        <w:tc>
          <w:tcPr>
            <w:tcW w:w="1265" w:type="dxa"/>
          </w:tcPr>
          <w:p w14:paraId="0EC0FAE9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</w:p>
        </w:tc>
        <w:tc>
          <w:tcPr>
            <w:tcW w:w="1265" w:type="dxa"/>
          </w:tcPr>
          <w:p w14:paraId="36A74A96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是</w:t>
            </w:r>
          </w:p>
        </w:tc>
        <w:tc>
          <w:tcPr>
            <w:tcW w:w="1265" w:type="dxa"/>
          </w:tcPr>
          <w:p w14:paraId="156F87BD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质检签字</w:t>
            </w:r>
          </w:p>
        </w:tc>
        <w:tc>
          <w:tcPr>
            <w:tcW w:w="1265" w:type="dxa"/>
          </w:tcPr>
          <w:p w14:paraId="6915689B">
            <w:pPr>
              <w:spacing w:after="0" w:line="240" w:lineRule="auto"/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24h 未批提醒</w:t>
            </w:r>
          </w:p>
        </w:tc>
      </w:tr>
    </w:tbl>
    <w:p w14:paraId="219DC3CD">
      <w:pPr>
        <w:pStyle w:val="3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二、</w:t>
      </w:r>
      <w:r>
        <w:rPr>
          <w:rFonts w:hint="eastAsia" w:ascii="苹方" w:hAnsi="苹方" w:eastAsia="苹方" w:cs="苹方"/>
          <w:lang w:val="en-US" w:eastAsia="zh-CN"/>
        </w:rPr>
        <w:t>假设为</w:t>
      </w:r>
      <w:r>
        <w:rPr>
          <w:rFonts w:hint="eastAsia" w:ascii="苹方" w:hAnsi="苹方" w:eastAsia="苹方" w:cs="苹方"/>
        </w:rPr>
        <w:t>品牌画册专项</w:t>
      </w:r>
    </w:p>
    <w:p w14:paraId="45DCD3ED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规格：176*126mm | 内页：128g 铜板纸 | 封面：220g 铜板纸</w:t>
      </w:r>
    </w:p>
    <w:p w14:paraId="6D671950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流程：需求→设计→打样</w:t>
      </w:r>
      <w:r>
        <w:rPr>
          <w:rFonts w:hint="eastAsia" w:ascii="苹方" w:hAnsi="苹方" w:eastAsia="苹方" w:cs="苹方"/>
          <w:lang w:eastAsia="zh-CN"/>
        </w:rPr>
        <w:t>（</w:t>
      </w:r>
      <w:r>
        <w:rPr>
          <w:rFonts w:hint="eastAsia" w:ascii="苹方" w:hAnsi="苹方" w:eastAsia="苹方" w:cs="苹方"/>
          <w:lang w:val="en-US" w:eastAsia="zh-CN"/>
        </w:rPr>
        <w:t>看情况</w:t>
      </w:r>
      <w:r>
        <w:rPr>
          <w:rFonts w:hint="eastAsia" w:ascii="苹方" w:hAnsi="苹方" w:eastAsia="苹方" w:cs="苹方"/>
          <w:lang w:eastAsia="zh-CN"/>
        </w:rPr>
        <w:t>）</w:t>
      </w:r>
      <w:r>
        <w:rPr>
          <w:rFonts w:hint="eastAsia" w:ascii="苹方" w:hAnsi="苹方" w:eastAsia="苹方" w:cs="苹方"/>
        </w:rPr>
        <w:t>→确认→下单→生产→质检</w:t>
      </w:r>
      <w:r>
        <w:rPr>
          <w:rFonts w:hint="eastAsia" w:ascii="苹方" w:hAnsi="苹方" w:eastAsia="苹方" w:cs="苹方"/>
          <w:lang w:eastAsia="zh-CN"/>
        </w:rPr>
        <w:t>（</w:t>
      </w:r>
      <w:r>
        <w:rPr>
          <w:rFonts w:hint="eastAsia" w:ascii="苹方" w:hAnsi="苹方" w:eastAsia="苹方" w:cs="苹方"/>
          <w:lang w:val="en-US" w:eastAsia="zh-CN"/>
        </w:rPr>
        <w:t>看情况</w:t>
      </w:r>
      <w:r>
        <w:rPr>
          <w:rFonts w:hint="eastAsia" w:ascii="苹方" w:hAnsi="苹方" w:eastAsia="苹方" w:cs="苹方"/>
          <w:lang w:eastAsia="zh-CN"/>
        </w:rPr>
        <w:t>）</w:t>
      </w:r>
      <w:r>
        <w:rPr>
          <w:rFonts w:hint="eastAsia" w:ascii="苹方" w:hAnsi="苹方" w:eastAsia="苹方" w:cs="苹方"/>
        </w:rPr>
        <w:t>→入库</w:t>
      </w:r>
    </w:p>
    <w:p w14:paraId="1CA3B355">
      <w:pPr>
        <w:pStyle w:val="3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lang w:val="en-US" w:eastAsia="zh-CN"/>
        </w:rPr>
        <w:t>三</w:t>
      </w:r>
      <w:r>
        <w:rPr>
          <w:rFonts w:hint="eastAsia" w:ascii="苹方" w:hAnsi="苹方" w:eastAsia="苹方" w:cs="苹方"/>
        </w:rPr>
        <w:t>、异常处理</w:t>
      </w:r>
    </w:p>
    <w:p w14:paraId="5921D100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超时 1 天→提醒本人 | 3 天→抄送上级 | 7 天→标红 + 绩效</w:t>
      </w:r>
    </w:p>
    <w:p w14:paraId="698E9CF9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质检不合格→返工→重新验货</w:t>
      </w:r>
    </w:p>
    <w:p w14:paraId="01CB751B">
      <w:pPr>
        <w:pStyle w:val="3"/>
        <w:rPr>
          <w:rFonts w:hint="default" w:ascii="苹方" w:hAnsi="苹方" w:eastAsia="苹方" w:cs="苹方"/>
          <w:lang w:val="en-US" w:eastAsia="zh-CN"/>
        </w:rPr>
      </w:pPr>
      <w:r>
        <w:rPr>
          <w:rFonts w:hint="eastAsia" w:ascii="苹方" w:hAnsi="苹方" w:eastAsia="苹方" w:cs="苹方"/>
          <w:lang w:val="en-US" w:eastAsia="zh-CN"/>
        </w:rPr>
        <w:t>四</w:t>
      </w:r>
      <w:r>
        <w:rPr>
          <w:rFonts w:hint="eastAsia" w:ascii="苹方" w:hAnsi="苹方" w:eastAsia="苹方" w:cs="苹方"/>
        </w:rPr>
        <w:t>、</w:t>
      </w:r>
      <w:r>
        <w:rPr>
          <w:rFonts w:hint="eastAsia" w:ascii="苹方" w:hAnsi="苹方" w:eastAsia="苹方" w:cs="苹方"/>
          <w:lang w:val="en-US" w:eastAsia="zh-CN"/>
        </w:rPr>
        <w:t>必须需要</w:t>
      </w:r>
    </w:p>
    <w:p w14:paraId="1B5E174C">
      <w:pPr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需</w:t>
      </w:r>
      <w:r>
        <w:rPr>
          <w:rFonts w:ascii="Arial" w:hAnsi="Arial" w:eastAsia="等线" w:cs="Arial"/>
          <w:sz w:val="22"/>
        </w:rPr>
        <w:t>每个产品当前在哪个阶段</w:t>
      </w:r>
      <w:r>
        <w:rPr>
          <w:rFonts w:hint="eastAsia" w:ascii="苹方" w:hAnsi="苹方" w:eastAsia="苹方" w:cs="苹方"/>
        </w:rPr>
        <w:br w:type="textWrapping"/>
      </w:r>
      <w:r>
        <w:rPr>
          <w:rFonts w:ascii="Arial" w:hAnsi="Arial" w:eastAsia="等线" w:cs="Arial"/>
          <w:sz w:val="22"/>
        </w:rPr>
        <w:t>每个负责人当前任务数</w:t>
      </w:r>
      <w:r>
        <w:rPr>
          <w:rFonts w:hint="eastAsia" w:ascii="苹方" w:hAnsi="苹方" w:eastAsia="苹方" w:cs="苹方"/>
        </w:rPr>
        <w:br w:type="textWrapping"/>
      </w:r>
      <w:r>
        <w:rPr>
          <w:rFonts w:ascii="Arial" w:hAnsi="Arial" w:eastAsia="等线" w:cs="Arial"/>
          <w:sz w:val="22"/>
        </w:rPr>
        <w:t>项目总周期</w:t>
      </w:r>
      <w:r>
        <w:rPr>
          <w:rFonts w:ascii="Arial" w:hAnsi="Arial" w:eastAsia="等线" w:cs="Arial"/>
          <w:sz w:val="22"/>
        </w:rPr>
        <w:br w:type="textWrapping"/>
      </w:r>
    </w:p>
    <w:p w14:paraId="598E9F3F">
      <w:pPr>
        <w:pStyle w:val="3"/>
        <w:numPr>
          <w:ilvl w:val="0"/>
          <w:numId w:val="7"/>
        </w:numPr>
        <w:rPr>
          <w:rFonts w:hint="eastAsia" w:ascii="苹方" w:hAnsi="苹方" w:eastAsia="苹方" w:cs="苹方"/>
          <w:lang w:val="en-US" w:eastAsia="zh-CN"/>
        </w:rPr>
      </w:pPr>
      <w:r>
        <w:rPr>
          <w:rFonts w:hint="eastAsia" w:ascii="苹方" w:hAnsi="苹方" w:eastAsia="苹方" w:cs="苹方"/>
          <w:lang w:val="en-US" w:eastAsia="zh-CN"/>
        </w:rPr>
        <w:t>运行时间</w:t>
      </w:r>
    </w:p>
    <w:p w14:paraId="06B6AC23">
      <w:pPr>
        <w:rPr>
          <w:rFonts w:hint="default" w:ascii="苹方" w:hAnsi="苹方" w:eastAsia="苹方" w:cs="苹方"/>
          <w:lang w:val="en-US" w:eastAsia="zh-CN"/>
        </w:rPr>
      </w:pPr>
      <w:r>
        <w:rPr>
          <w:rFonts w:hint="eastAsia" w:ascii="苹方" w:hAnsi="苹方" w:eastAsia="苹方" w:cs="苹方"/>
          <w:lang w:val="en-US" w:eastAsia="zh-CN"/>
        </w:rPr>
        <w:t>整体汇总后，看需取材</w:t>
      </w:r>
    </w:p>
    <w:p w14:paraId="29C680C5">
      <w:pPr>
        <w:numPr>
          <w:numId w:val="0"/>
        </w:numPr>
        <w:rPr>
          <w:rFonts w:hint="default"/>
          <w:lang w:val="en-US" w:eastAsia="zh-CN"/>
        </w:rPr>
      </w:pPr>
    </w:p>
    <w:p w14:paraId="5D7C161E">
      <w:pPr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br w:type="textWrapping"/>
      </w:r>
    </w:p>
    <w:p w14:paraId="511C2A21">
      <w:pPr>
        <w:pStyle w:val="3"/>
        <w:keepNext/>
        <w:keepLines/>
        <w:numPr>
          <w:numId w:val="0"/>
        </w:numPr>
        <w:spacing w:before="480" w:after="0" w:line="276" w:lineRule="auto"/>
        <w:outlineLvl w:val="0"/>
        <w:rPr>
          <w:rFonts w:hint="default"/>
          <w:lang w:val="en-US" w:eastAsia="zh-CN"/>
        </w:rPr>
      </w:pPr>
    </w:p>
    <w:p w14:paraId="6CE63218">
      <w:pPr>
        <w:rPr>
          <w:rFonts w:hint="eastAsia" w:ascii="苹方" w:hAnsi="苹方" w:eastAsia="苹方" w:cs="苹方"/>
        </w:rPr>
      </w:pPr>
      <w:r>
        <w:rPr>
          <w:rFonts w:ascii="Arial" w:hAnsi="Arial" w:eastAsia="等线" w:cs="Arial"/>
          <w:sz w:val="22"/>
        </w:rPr>
        <w:br w:type="textWrapping"/>
      </w:r>
    </w:p>
    <w:p w14:paraId="22BCFC04">
      <w:pPr>
        <w:rPr>
          <w:rFonts w:hint="eastAsia" w:ascii="黑体" w:hAnsi="黑体" w:eastAsia="黑体" w:cs="黑体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FFEA332"/>
    <w:multiLevelType w:val="singleLevel"/>
    <w:tmpl w:val="2FFEA332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AFCB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王健豪</cp:lastModifiedBy>
  <dcterms:modified xsi:type="dcterms:W3CDTF">2026-03-03T19:37:48Z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AB8B5A7215B764F30CC8A669FFC30089_42</vt:lpwstr>
  </property>
</Properties>
</file>