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 w:eastAsia="Microsoft YaHei"/>
          <w:b/>
          <w:i w:val="0"/>
          <w:color w:val="2B2D42"/>
          <w:sz w:val="72"/>
        </w:rPr>
        <w:t>线上线下双录一体化</w:t>
      </w:r>
    </w:p>
    <w:p>
      <w:pPr>
        <w:jc w:val="center"/>
      </w:pPr>
      <w:r>
        <w:rPr>
          <w:rFonts w:ascii="Arial" w:hAnsi="Arial" w:eastAsia="Microsoft YaHei"/>
          <w:b/>
          <w:i w:val="0"/>
          <w:color w:val="D90429"/>
          <w:sz w:val="48"/>
        </w:rPr>
        <w:t>技术方案说明书</w:t>
      </w:r>
    </w:p>
    <w:p>
      <w:pPr>
        <w:spacing w:before="240"/>
        <w:jc w:val="center"/>
      </w:pPr>
      <w:r>
        <w:rPr>
          <w:rFonts w:ascii="Arial" w:hAnsi="Arial" w:eastAsia="Microsoft YaHei"/>
          <w:b w:val="0"/>
          <w:i/>
          <w:color w:val="8D99AE"/>
          <w:sz w:val="28"/>
        </w:rPr>
        <w:t>Technical Specification for Dual-Record Integration Platform</w:t>
      </w:r>
    </w:p>
    <w:p>
      <w:pPr>
        <w:spacing w:before="2400"/>
        <w:jc w:val="center"/>
      </w:pPr>
      <w:r>
        <w:rPr>
          <w:rFonts w:ascii="Arial" w:hAnsi="Arial" w:eastAsia="Microsoft YaHei"/>
          <w:b w:val="0"/>
          <w:i w:val="0"/>
          <w:color w:val="333333"/>
          <w:sz w:val="24"/>
        </w:rPr>
        <w:t>版本:V1.0    |    密级:内部公开    |    2026</w:t>
      </w:r>
    </w:p>
    <w:p>
      <w:pPr>
        <w:spacing w:before="1200"/>
        <w:jc w:val="center"/>
      </w:pPr>
      <w:r>
        <w:rPr>
          <w:rFonts w:ascii="Arial" w:hAnsi="Arial" w:eastAsia="Microsoft YaHei"/>
          <w:b w:val="0"/>
          <w:i w:val="0"/>
          <w:color w:val="8D99AE"/>
          <w:sz w:val="20"/>
        </w:rPr>
        <w:t>—————————————————————————————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2B2D42"/>
                <w:sz w:val="21"/>
              </w:rPr>
              <w:t xml:space="preserve">文档名称  </w:t>
            </w:r>
          </w:p>
        </w:tc>
        <w:tc>
          <w:tcPr>
            <w:tcW w:type="dxa" w:w="648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1"/>
              </w:rPr>
              <w:t>线上线下双录一体化技术方案说明书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2B2D42"/>
                <w:sz w:val="21"/>
              </w:rPr>
              <w:t xml:space="preserve">版本号  </w:t>
            </w:r>
          </w:p>
        </w:tc>
        <w:tc>
          <w:tcPr>
            <w:tcW w:type="dxa" w:w="648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1"/>
              </w:rPr>
              <w:t>V1.0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2B2D42"/>
                <w:sz w:val="21"/>
              </w:rPr>
              <w:t xml:space="preserve">编写日期  </w:t>
            </w:r>
          </w:p>
        </w:tc>
        <w:tc>
          <w:tcPr>
            <w:tcW w:type="dxa" w:w="648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1"/>
              </w:rPr>
              <w:t>2026 年 8 月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2B2D42"/>
                <w:sz w:val="21"/>
              </w:rPr>
              <w:t xml:space="preserve">适用读者  </w:t>
            </w:r>
          </w:p>
        </w:tc>
        <w:tc>
          <w:tcPr>
            <w:tcW w:type="dxa" w:w="648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1"/>
              </w:rPr>
              <w:t>技术评审委员会 / 开发团队 / 合规审计 / 业务方</w:t>
            </w:r>
          </w:p>
        </w:tc>
      </w:tr>
    </w:tbl>
    <w:p>
      <w:r>
        <w:br w:type="page"/>
      </w:r>
    </w:p>
    <w:p>
      <w:pPr>
        <w:keepNext/>
        <w:spacing w:before="360" w:after="200"/>
        <w:jc w:val="left"/>
        <w:pBdr>
          <w:bottom w:val="single" w:sz="6" w:space="1" w:color="2b2d42"/>
        </w:pBdr>
      </w:pPr>
      <w:r>
        <w:rPr>
          <w:rFonts w:ascii="Arial" w:hAnsi="Arial" w:eastAsia="Microsoft YaHei"/>
          <w:b/>
          <w:i w:val="0"/>
          <w:color w:val="2B2D42"/>
          <w:sz w:val="36"/>
        </w:rPr>
        <w:t>文档信息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修订历史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52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日期</w:t>
            </w:r>
          </w:p>
        </w:tc>
        <w:tc>
          <w:tcPr>
            <w:tcW w:type="dxa" w:w="1728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作者</w:t>
            </w:r>
          </w:p>
        </w:tc>
        <w:tc>
          <w:tcPr>
            <w:tcW w:type="dxa" w:w="5472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修订内容</w:t>
            </w:r>
          </w:p>
        </w:tc>
      </w:tr>
      <w:tr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V0.1</w:t>
            </w:r>
          </w:p>
        </w:tc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2026-06</w:t>
            </w:r>
          </w:p>
        </w:tc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[作者]</w:t>
            </w:r>
          </w:p>
        </w:tc>
        <w:tc>
          <w:tcPr>
            <w:tcW w:type="dxa" w:w="547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初稿,完成整体架构设计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V0.5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2026-07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[作者]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补充话术模板、视频合规、数据一致性方案</w:t>
            </w:r>
          </w:p>
        </w:tc>
      </w:tr>
      <w:tr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V0.9</w:t>
            </w:r>
          </w:p>
        </w:tc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2026-08</w:t>
            </w:r>
          </w:p>
        </w:tc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[作者]</w:t>
            </w:r>
          </w:p>
        </w:tc>
        <w:tc>
          <w:tcPr>
            <w:tcW w:type="dxa" w:w="547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完成业务流程图、状态机、Saga 补偿机制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V1.0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2026-08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[作者]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技术评审通过,正式发布</w:t>
            </w:r>
          </w:p>
        </w:tc>
      </w:tr>
    </w:tbl>
    <w:p>
      <w:pPr>
        <w:spacing w:after="160"/>
      </w:pP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术语定义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28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术语</w:t>
            </w:r>
          </w:p>
        </w:tc>
        <w:tc>
          <w:tcPr>
            <w:tcW w:type="dxa" w:w="2016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英文/缩写</w:t>
            </w:r>
          </w:p>
        </w:tc>
        <w:tc>
          <w:tcPr>
            <w:tcW w:type="dxa" w:w="6336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双录</w:t>
            </w:r>
          </w:p>
        </w:tc>
        <w:tc>
          <w:tcPr>
            <w:tcW w:type="dxa" w:w="2016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录音录像</w:t>
            </w:r>
          </w:p>
        </w:tc>
        <w:tc>
          <w:tcPr>
            <w:tcW w:type="dxa" w:w="6336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Insurance Dual-Record;指保险公司、保险中介机构在销售保险产品时,对销售过程同步录音录像的合规要求。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话术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Script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客户经理销售过程中必须按照监管要求逐字逐句陈述的内容,包括风险揭示、产品告知、客户确认等。</w:t>
            </w:r>
          </w:p>
        </w:tc>
      </w:tr>
      <w:tr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适当性管理</w:t>
            </w:r>
          </w:p>
        </w:tc>
        <w:tc>
          <w:tcPr>
            <w:tcW w:type="dxa" w:w="2016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Suitability</w:t>
            </w:r>
          </w:p>
        </w:tc>
        <w:tc>
          <w:tcPr>
            <w:tcW w:type="dxa" w:w="6336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根据客户风险等级、财务状况、投资经验等,推荐匹配的产品。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KYC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Know Your Customer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了解你的客户,金融机构反洗钱和风险评估的基础制度。</w:t>
            </w:r>
          </w:p>
        </w:tc>
      </w:tr>
      <w:tr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Saga</w:t>
            </w:r>
          </w:p>
        </w:tc>
        <w:tc>
          <w:tcPr>
            <w:tcW w:type="dxa" w:w="2016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6336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分布式事务解决方案,通过补偿机制保证最终一致性,适合长事务场景。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BPMN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Business Process Model and Notation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业务流程模型与标记法,业界标准的流程建模语言。</w:t>
            </w:r>
          </w:p>
        </w:tc>
      </w:tr>
      <w:tr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CA 证书</w:t>
            </w:r>
          </w:p>
        </w:tc>
        <w:tc>
          <w:tcPr>
            <w:tcW w:type="dxa" w:w="2016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Certificate Authority</w:t>
            </w:r>
          </w:p>
        </w:tc>
        <w:tc>
          <w:tcPr>
            <w:tcW w:type="dxa" w:w="6336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数字证书认证机构,提供电子签名合规凭证。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OCR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Optical Character Recognition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光学字符识别,用于证件信息的自动提取。</w:t>
            </w:r>
          </w:p>
        </w:tc>
      </w:tr>
      <w:tr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活体检测</w:t>
            </w:r>
          </w:p>
        </w:tc>
        <w:tc>
          <w:tcPr>
            <w:tcW w:type="dxa" w:w="2016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Liveness Detection</w:t>
            </w:r>
          </w:p>
        </w:tc>
        <w:tc>
          <w:tcPr>
            <w:tcW w:type="dxa" w:w="6336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通过动作、表情等判断镜头前是否为真人,防止视频欺诈。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区块链存证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Blockchain Notarization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利用区块链不可篡改特性固化电子证据,具备司法效力。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keepNext/>
        <w:spacing w:before="360" w:after="200"/>
        <w:jc w:val="left"/>
        <w:pBdr>
          <w:bottom w:val="single" w:sz="6" w:space="1" w:color="2b2d42"/>
        </w:pBdr>
      </w:pPr>
      <w:r>
        <w:rPr>
          <w:rFonts w:ascii="Arial" w:hAnsi="Arial" w:eastAsia="Microsoft YaHei"/>
          <w:b/>
          <w:i w:val="0"/>
          <w:color w:val="2B2D42"/>
          <w:sz w:val="36"/>
        </w:rPr>
        <w:t>目  录</w:t>
      </w:r>
    </w:p>
    <w:p>
      <w:pPr>
        <w:tabs>
          <w:tab w:pos="8640" w:val="right" w:leader="hyphen"/>
        </w:tabs>
        <w:spacing w:after="80"/>
      </w:pPr>
      <w:r>
        <w:rPr>
          <w:rFonts w:ascii="Arial" w:hAnsi="Arial" w:eastAsia="Microsoft YaHei"/>
          <w:b w:val="0"/>
          <w:i w:val="0"/>
          <w:color w:val="333333"/>
          <w:sz w:val="22"/>
        </w:rPr>
        <w:t>第 1 章 项目概述</w:t>
      </w:r>
      <w:r>
        <w:rPr>
          <w:rFonts w:ascii="Arial" w:hAnsi="Arial" w:eastAsia="Microsoft YaHei"/>
          <w:b/>
          <w:i w:val="0"/>
          <w:color w:val="2B2D42"/>
          <w:sz w:val="22"/>
        </w:rPr>
        <w:tab/>
        <w:t>5</w:t>
      </w:r>
    </w:p>
    <w:p>
      <w:pPr>
        <w:tabs>
          <w:tab w:pos="8640" w:val="right" w:leader="hyphen"/>
        </w:tabs>
        <w:spacing w:after="80"/>
      </w:pPr>
      <w:r>
        <w:rPr>
          <w:rFonts w:ascii="Arial" w:hAnsi="Arial" w:eastAsia="Microsoft YaHei"/>
          <w:b w:val="0"/>
          <w:i w:val="0"/>
          <w:color w:val="333333"/>
          <w:sz w:val="22"/>
        </w:rPr>
        <w:t>第 2 章 现状与痛点分析</w:t>
      </w:r>
      <w:r>
        <w:rPr>
          <w:rFonts w:ascii="Arial" w:hAnsi="Arial" w:eastAsia="Microsoft YaHei"/>
          <w:b/>
          <w:i w:val="0"/>
          <w:color w:val="2B2D42"/>
          <w:sz w:val="22"/>
        </w:rPr>
        <w:tab/>
        <w:t>6</w:t>
      </w:r>
    </w:p>
    <w:p>
      <w:pPr>
        <w:tabs>
          <w:tab w:pos="8640" w:val="right" w:leader="hyphen"/>
        </w:tabs>
        <w:spacing w:after="80"/>
      </w:pPr>
      <w:r>
        <w:rPr>
          <w:rFonts w:ascii="Arial" w:hAnsi="Arial" w:eastAsia="Microsoft YaHei"/>
          <w:b w:val="0"/>
          <w:i w:val="0"/>
          <w:color w:val="333333"/>
          <w:sz w:val="22"/>
        </w:rPr>
        <w:t>第 3 章 整体技术方案</w:t>
      </w:r>
      <w:r>
        <w:rPr>
          <w:rFonts w:ascii="Arial" w:hAnsi="Arial" w:eastAsia="Microsoft YaHei"/>
          <w:b/>
          <w:i w:val="0"/>
          <w:color w:val="2B2D42"/>
          <w:sz w:val="22"/>
        </w:rPr>
        <w:tab/>
        <w:t>8</w:t>
      </w:r>
    </w:p>
    <w:p>
      <w:pPr>
        <w:tabs>
          <w:tab w:pos="8640" w:val="right" w:leader="hyphen"/>
        </w:tabs>
        <w:spacing w:after="80"/>
      </w:pPr>
      <w:r>
        <w:rPr>
          <w:rFonts w:ascii="Arial" w:hAnsi="Arial" w:eastAsia="Microsoft YaHei"/>
          <w:b w:val="0"/>
          <w:i w:val="0"/>
          <w:color w:val="333333"/>
          <w:sz w:val="22"/>
        </w:rPr>
        <w:t>第 4 章 接入层详细设计</w:t>
      </w:r>
      <w:r>
        <w:rPr>
          <w:rFonts w:ascii="Arial" w:hAnsi="Arial" w:eastAsia="Microsoft YaHei"/>
          <w:b/>
          <w:i w:val="0"/>
          <w:color w:val="2B2D42"/>
          <w:sz w:val="22"/>
        </w:rPr>
        <w:tab/>
        <w:t>11</w:t>
      </w:r>
    </w:p>
    <w:p>
      <w:pPr>
        <w:tabs>
          <w:tab w:pos="8640" w:val="right" w:leader="hyphen"/>
        </w:tabs>
        <w:spacing w:after="80"/>
      </w:pPr>
      <w:r>
        <w:rPr>
          <w:rFonts w:ascii="Arial" w:hAnsi="Arial" w:eastAsia="Microsoft YaHei"/>
          <w:b w:val="0"/>
          <w:i w:val="0"/>
          <w:color w:val="333333"/>
          <w:sz w:val="22"/>
        </w:rPr>
        <w:t>第 5 章 流程编排层</w:t>
      </w:r>
      <w:r>
        <w:rPr>
          <w:rFonts w:ascii="Arial" w:hAnsi="Arial" w:eastAsia="Microsoft YaHei"/>
          <w:b/>
          <w:i w:val="0"/>
          <w:color w:val="2B2D42"/>
          <w:sz w:val="22"/>
        </w:rPr>
        <w:tab/>
        <w:t>12</w:t>
      </w:r>
    </w:p>
    <w:p>
      <w:pPr>
        <w:tabs>
          <w:tab w:pos="8640" w:val="right" w:leader="hyphen"/>
        </w:tabs>
        <w:spacing w:after="80"/>
      </w:pPr>
      <w:r>
        <w:rPr>
          <w:rFonts w:ascii="Arial" w:hAnsi="Arial" w:eastAsia="Microsoft YaHei"/>
          <w:b w:val="0"/>
          <w:i w:val="0"/>
          <w:color w:val="333333"/>
          <w:sz w:val="22"/>
        </w:rPr>
        <w:t>第 6 章 能力中台层</w:t>
      </w:r>
      <w:r>
        <w:rPr>
          <w:rFonts w:ascii="Arial" w:hAnsi="Arial" w:eastAsia="Microsoft YaHei"/>
          <w:b/>
          <w:i w:val="0"/>
          <w:color w:val="2B2D42"/>
          <w:sz w:val="22"/>
        </w:rPr>
        <w:tab/>
        <w:t>14</w:t>
      </w:r>
    </w:p>
    <w:p>
      <w:pPr>
        <w:tabs>
          <w:tab w:pos="8640" w:val="right" w:leader="hyphen"/>
        </w:tabs>
        <w:spacing w:after="80"/>
      </w:pPr>
      <w:r>
        <w:rPr>
          <w:rFonts w:ascii="Arial" w:hAnsi="Arial" w:eastAsia="Microsoft YaHei"/>
          <w:b w:val="0"/>
          <w:i w:val="0"/>
          <w:color w:val="333333"/>
          <w:sz w:val="22"/>
        </w:rPr>
        <w:t>第 7 章 数据治理层</w:t>
      </w:r>
      <w:r>
        <w:rPr>
          <w:rFonts w:ascii="Arial" w:hAnsi="Arial" w:eastAsia="Microsoft YaHei"/>
          <w:b/>
          <w:i w:val="0"/>
          <w:color w:val="2B2D42"/>
          <w:sz w:val="22"/>
        </w:rPr>
        <w:tab/>
        <w:t>18</w:t>
      </w:r>
    </w:p>
    <w:p>
      <w:pPr>
        <w:tabs>
          <w:tab w:pos="8640" w:val="right" w:leader="hyphen"/>
        </w:tabs>
        <w:spacing w:after="80"/>
      </w:pPr>
      <w:r>
        <w:rPr>
          <w:rFonts w:ascii="Arial" w:hAnsi="Arial" w:eastAsia="Microsoft YaHei"/>
          <w:b w:val="0"/>
          <w:i w:val="0"/>
          <w:color w:val="333333"/>
          <w:sz w:val="22"/>
        </w:rPr>
        <w:t>第 8 章 业务流程详细设计</w:t>
      </w:r>
      <w:r>
        <w:rPr>
          <w:rFonts w:ascii="Arial" w:hAnsi="Arial" w:eastAsia="Microsoft YaHei"/>
          <w:b/>
          <w:i w:val="0"/>
          <w:color w:val="2B2D42"/>
          <w:sz w:val="22"/>
        </w:rPr>
        <w:tab/>
        <w:t>20</w:t>
      </w:r>
    </w:p>
    <w:p>
      <w:pPr>
        <w:tabs>
          <w:tab w:pos="8640" w:val="right" w:leader="hyphen"/>
        </w:tabs>
        <w:spacing w:after="80"/>
      </w:pPr>
      <w:r>
        <w:rPr>
          <w:rFonts w:ascii="Arial" w:hAnsi="Arial" w:eastAsia="Microsoft YaHei"/>
          <w:b w:val="0"/>
          <w:i w:val="0"/>
          <w:color w:val="333333"/>
          <w:sz w:val="22"/>
        </w:rPr>
        <w:t>第 9 章 话术模板详细设计</w:t>
      </w:r>
      <w:r>
        <w:rPr>
          <w:rFonts w:ascii="Arial" w:hAnsi="Arial" w:eastAsia="Microsoft YaHei"/>
          <w:b/>
          <w:i w:val="0"/>
          <w:color w:val="2B2D42"/>
          <w:sz w:val="22"/>
        </w:rPr>
        <w:tab/>
        <w:t>23</w:t>
      </w:r>
    </w:p>
    <w:p>
      <w:pPr>
        <w:tabs>
          <w:tab w:pos="8640" w:val="right" w:leader="hyphen"/>
        </w:tabs>
        <w:spacing w:after="80"/>
      </w:pPr>
      <w:r>
        <w:rPr>
          <w:rFonts w:ascii="Arial" w:hAnsi="Arial" w:eastAsia="Microsoft YaHei"/>
          <w:b w:val="0"/>
          <w:i w:val="0"/>
          <w:color w:val="333333"/>
          <w:sz w:val="22"/>
        </w:rPr>
        <w:t>第 10 章 视频合规方案</w:t>
      </w:r>
      <w:r>
        <w:rPr>
          <w:rFonts w:ascii="Arial" w:hAnsi="Arial" w:eastAsia="Microsoft YaHei"/>
          <w:b/>
          <w:i w:val="0"/>
          <w:color w:val="2B2D42"/>
          <w:sz w:val="22"/>
        </w:rPr>
        <w:tab/>
        <w:t>26</w:t>
      </w:r>
    </w:p>
    <w:p>
      <w:pPr>
        <w:tabs>
          <w:tab w:pos="8640" w:val="right" w:leader="hyphen"/>
        </w:tabs>
        <w:spacing w:after="80"/>
      </w:pPr>
      <w:r>
        <w:rPr>
          <w:rFonts w:ascii="Arial" w:hAnsi="Arial" w:eastAsia="Microsoft YaHei"/>
          <w:b w:val="0"/>
          <w:i w:val="0"/>
          <w:color w:val="333333"/>
          <w:sz w:val="22"/>
        </w:rPr>
        <w:t>第 11 章 智能质检方案</w:t>
      </w:r>
      <w:r>
        <w:rPr>
          <w:rFonts w:ascii="Arial" w:hAnsi="Arial" w:eastAsia="Microsoft YaHei"/>
          <w:b/>
          <w:i w:val="0"/>
          <w:color w:val="2B2D42"/>
          <w:sz w:val="22"/>
        </w:rPr>
        <w:tab/>
        <w:t>28</w:t>
      </w:r>
    </w:p>
    <w:p>
      <w:pPr>
        <w:tabs>
          <w:tab w:pos="8640" w:val="right" w:leader="hyphen"/>
        </w:tabs>
        <w:spacing w:after="80"/>
      </w:pPr>
      <w:r>
        <w:rPr>
          <w:rFonts w:ascii="Arial" w:hAnsi="Arial" w:eastAsia="Microsoft YaHei"/>
          <w:b w:val="0"/>
          <w:i w:val="0"/>
          <w:color w:val="333333"/>
          <w:sz w:val="22"/>
        </w:rPr>
        <w:t>第 12 章 安全与合规</w:t>
      </w:r>
      <w:r>
        <w:rPr>
          <w:rFonts w:ascii="Arial" w:hAnsi="Arial" w:eastAsia="Microsoft YaHei"/>
          <w:b/>
          <w:i w:val="0"/>
          <w:color w:val="2B2D42"/>
          <w:sz w:val="22"/>
        </w:rPr>
        <w:tab/>
        <w:t>30</w:t>
      </w:r>
    </w:p>
    <w:p>
      <w:pPr>
        <w:tabs>
          <w:tab w:pos="8640" w:val="right" w:leader="hyphen"/>
        </w:tabs>
        <w:spacing w:after="80"/>
      </w:pPr>
      <w:r>
        <w:rPr>
          <w:rFonts w:ascii="Arial" w:hAnsi="Arial" w:eastAsia="Microsoft YaHei"/>
          <w:b w:val="0"/>
          <w:i w:val="0"/>
          <w:color w:val="333333"/>
          <w:sz w:val="22"/>
        </w:rPr>
        <w:t>第 13 章 接口设计</w:t>
      </w:r>
      <w:r>
        <w:rPr>
          <w:rFonts w:ascii="Arial" w:hAnsi="Arial" w:eastAsia="Microsoft YaHei"/>
          <w:b/>
          <w:i w:val="0"/>
          <w:color w:val="2B2D42"/>
          <w:sz w:val="22"/>
        </w:rPr>
        <w:tab/>
        <w:t>32</w:t>
      </w:r>
    </w:p>
    <w:p>
      <w:pPr>
        <w:tabs>
          <w:tab w:pos="8640" w:val="right" w:leader="hyphen"/>
        </w:tabs>
        <w:spacing w:after="80"/>
      </w:pPr>
      <w:r>
        <w:rPr>
          <w:rFonts w:ascii="Arial" w:hAnsi="Arial" w:eastAsia="Microsoft YaHei"/>
          <w:b w:val="0"/>
          <w:i w:val="0"/>
          <w:color w:val="333333"/>
          <w:sz w:val="22"/>
        </w:rPr>
        <w:t>第 14 章 实施计划</w:t>
      </w:r>
      <w:r>
        <w:rPr>
          <w:rFonts w:ascii="Arial" w:hAnsi="Arial" w:eastAsia="Microsoft YaHei"/>
          <w:b/>
          <w:i w:val="0"/>
          <w:color w:val="2B2D42"/>
          <w:sz w:val="22"/>
        </w:rPr>
        <w:tab/>
        <w:t>34</w:t>
      </w:r>
    </w:p>
    <w:p>
      <w:pPr>
        <w:tabs>
          <w:tab w:pos="8640" w:val="right" w:leader="hyphen"/>
        </w:tabs>
        <w:spacing w:after="80"/>
      </w:pPr>
      <w:r>
        <w:rPr>
          <w:rFonts w:ascii="Arial" w:hAnsi="Arial" w:eastAsia="Microsoft YaHei"/>
          <w:b w:val="0"/>
          <w:i w:val="0"/>
          <w:color w:val="333333"/>
          <w:sz w:val="22"/>
        </w:rPr>
        <w:t>附录 A 数据字典</w:t>
      </w:r>
      <w:r>
        <w:rPr>
          <w:rFonts w:ascii="Arial" w:hAnsi="Arial" w:eastAsia="Microsoft YaHei"/>
          <w:b/>
          <w:i w:val="0"/>
          <w:color w:val="2B2D42"/>
          <w:sz w:val="22"/>
        </w:rPr>
        <w:tab/>
        <w:t>36</w:t>
      </w:r>
    </w:p>
    <w:p>
      <w:pPr>
        <w:tabs>
          <w:tab w:pos="8640" w:val="right" w:leader="hyphen"/>
        </w:tabs>
        <w:spacing w:after="80"/>
      </w:pPr>
      <w:r>
        <w:rPr>
          <w:rFonts w:ascii="Arial" w:hAnsi="Arial" w:eastAsia="Microsoft YaHei"/>
          <w:b w:val="0"/>
          <w:i w:val="0"/>
          <w:color w:val="333333"/>
          <w:sz w:val="22"/>
        </w:rPr>
        <w:t>附录 B 话术模板清单</w:t>
      </w:r>
      <w:r>
        <w:rPr>
          <w:rFonts w:ascii="Arial" w:hAnsi="Arial" w:eastAsia="Microsoft YaHei"/>
          <w:b/>
          <w:i w:val="0"/>
          <w:color w:val="2B2D42"/>
          <w:sz w:val="22"/>
        </w:rPr>
        <w:tab/>
        <w:t>37</w:t>
      </w:r>
    </w:p>
    <w:p>
      <w:pPr>
        <w:tabs>
          <w:tab w:pos="8640" w:val="right" w:leader="hyphen"/>
        </w:tabs>
        <w:spacing w:after="80"/>
      </w:pPr>
      <w:r>
        <w:rPr>
          <w:rFonts w:ascii="Arial" w:hAnsi="Arial" w:eastAsia="Microsoft YaHei"/>
          <w:b w:val="0"/>
          <w:i w:val="0"/>
          <w:color w:val="333333"/>
          <w:sz w:val="22"/>
        </w:rPr>
        <w:t>附录 C 缩略语表</w:t>
      </w:r>
      <w:r>
        <w:rPr>
          <w:rFonts w:ascii="Arial" w:hAnsi="Arial" w:eastAsia="Microsoft YaHei"/>
          <w:b/>
          <w:i w:val="0"/>
          <w:color w:val="2B2D42"/>
          <w:sz w:val="22"/>
        </w:rPr>
        <w:tab/>
        <w:t>38</w:t>
      </w:r>
    </w:p>
    <w:p>
      <w:r>
        <w:br w:type="page"/>
      </w:r>
    </w:p>
    <w:p>
      <w:pPr>
        <w:keepNext/>
        <w:spacing w:before="360" w:after="200"/>
        <w:jc w:val="left"/>
        <w:pBdr>
          <w:bottom w:val="single" w:sz="6" w:space="1" w:color="2b2d42"/>
        </w:pBdr>
      </w:pPr>
      <w:r>
        <w:rPr>
          <w:rFonts w:ascii="Arial" w:hAnsi="Arial" w:eastAsia="Microsoft YaHei"/>
          <w:b/>
          <w:i w:val="0"/>
          <w:color w:val="2B2D42"/>
          <w:sz w:val="36"/>
        </w:rPr>
        <w:t>第 1 章  项目概述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1.1 项目背景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随着银保监会、证监会等监管机构对金融机构销售合规要求的持续收紧,以及《保险销售行为可回溯管理暂行办法》《证券基金销售机构投资者适当性管理》等法规的深入实施,销售录音录像(以下简称“双录”)已成为银行、保险、证券、基金等行业的强制要求。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在传统业务模式下,客户经理在线下高柜或上门办理业务时,通过双录一体机或 PAD 进行本地化录制;线上场景下则通过 H5/小程序内置音视频 SDK 完成录制。两条线长期并行,导致话术版本不一致、视频合规证据链不统一、质检结果无法对账、数据状态分散等系统性痛点。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本项目旨在建设统一的“线上线下双录一体化平台”,从架构层面彻底解决上述痛点,实现一套话术、一份视频证据、一套质检规则、一份数据状态贯穿全场景,确保合规零处罚的同时,显著提升客户体验和机构运营效率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1.2 项目目标</w:t>
      </w:r>
    </w:p>
    <w:p>
      <w:pPr>
        <w:pStyle w:val="ListNumber"/>
        <w:spacing w:after="40" w:line="336" w:lineRule="auto"/>
      </w:pPr>
      <w:r>
        <w:rPr>
          <w:rFonts w:ascii="Arial" w:hAnsi="Arial" w:eastAsia="Microsoft YaHei"/>
          <w:b w:val="0"/>
          <w:i w:val="0"/>
          <w:color w:val="333333"/>
          <w:sz w:val="21"/>
        </w:rPr>
        <w:t>统一话术:线上线下共享同一份话术,版本强一致,产品迭代秒级生效;</w:t>
      </w:r>
    </w:p>
    <w:p>
      <w:pPr>
        <w:pStyle w:val="ListNumber"/>
        <w:spacing w:after="40" w:line="336" w:lineRule="auto"/>
      </w:pPr>
      <w:r>
        <w:rPr>
          <w:rFonts w:ascii="Arial" w:hAnsi="Arial" w:eastAsia="Microsoft YaHei"/>
          <w:b w:val="0"/>
          <w:i w:val="0"/>
          <w:color w:val="333333"/>
          <w:sz w:val="21"/>
        </w:rPr>
        <w:t>视频合规:全场景录制加密 → 存储 → 区块链存证 → 监管上报,证据链可追溯;</w:t>
      </w:r>
    </w:p>
    <w:p>
      <w:pPr>
        <w:pStyle w:val="ListNumber"/>
        <w:spacing w:after="40" w:line="336" w:lineRule="auto"/>
      </w:pPr>
      <w:r>
        <w:rPr>
          <w:rFonts w:ascii="Arial" w:hAnsi="Arial" w:eastAsia="Microsoft YaHei"/>
          <w:b w:val="0"/>
          <w:i w:val="0"/>
          <w:color w:val="333333"/>
          <w:sz w:val="21"/>
        </w:rPr>
        <w:t>质检一致:同一规则 + 同一 AI 模型 + 同一评分卡,线上线下结果可比、可对账;</w:t>
      </w:r>
    </w:p>
    <w:p>
      <w:pPr>
        <w:pStyle w:val="ListNumber"/>
        <w:spacing w:after="40" w:line="336" w:lineRule="auto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数据原子:分布式事务 + 状态机,任一环节失败自动回滚,不留数据空洞;</w:t>
      </w:r>
    </w:p>
    <w:p>
      <w:pPr>
        <w:pStyle w:val="ListNumber"/>
        <w:spacing w:after="40" w:line="336" w:lineRule="auto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客户体验:线上 5-8 分钟完成,线下 15-20 分钟,异常情况自动恢复或人工兜底;</w:t>
      </w:r>
    </w:p>
    <w:p>
      <w:pPr>
        <w:pStyle w:val="ListNumber"/>
        <w:spacing w:after="40" w:line="336" w:lineRule="auto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架构先进:5 层分层 + 5 个能力中心,横切能力贯穿,支持未来 3 年业务扩展。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1.3 适用范围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本方案适用于本行(及子公司、关联机构)所有涉及双录合规要求的业务场景,包括但不限于:银行自有理财产品销售、代理保险业务、基金代销业务、信托产品销售、贵金属销售,以及未来可能涉及的证券业务。每类业务对应不同的话术模板、风评要求和监管报送规则,均在本平台统一管理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1.4 参考文档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《保险销售行为可回溯管理暂行办法》(保监发〔2017〕54 号)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《商业银行理财业务监督管理办法》(银保监会 2018 年第 6 号令)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《证券期货投资者适当性管理办法》(证监会令第 130 号)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《金融机构客户身份识别和客户身份资料及交易记录保存管理办法》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本行《信息技术架构白皮书 V3.0》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本行《数据安全管理办法》《个人信息保护管理办法》</w:t>
      </w:r>
    </w:p>
    <w:p>
      <w:r>
        <w:br w:type="page"/>
      </w:r>
    </w:p>
    <w:p>
      <w:pPr>
        <w:keepNext/>
        <w:spacing w:before="360" w:after="200"/>
        <w:jc w:val="left"/>
        <w:pBdr>
          <w:bottom w:val="single" w:sz="6" w:space="1" w:color="2b2d42"/>
        </w:pBdr>
      </w:pPr>
      <w:r>
        <w:rPr>
          <w:rFonts w:ascii="Arial" w:hAnsi="Arial" w:eastAsia="Microsoft YaHei"/>
          <w:b/>
          <w:i w:val="0"/>
          <w:color w:val="2B2D42"/>
          <w:sz w:val="36"/>
        </w:rPr>
        <w:t>第 2 章  现状与痛点分析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2.1 线上双录现状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线上双录基于 H5/小程序承载,客户通过手机或 PC 端自助完成全流程。技术栈以 WebRTC 实时音视频 + ASR 语音转写 + 服务端智能质检为主,具备较好的自动化能力,但存在以下问题: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话术版本由前端工程团队维护,产品部门更新话术后,线上版本同步周期普遍在 3-7 天;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线上 H5 与线下 PAD/一体机使用不同的话术源,口径不一致曾导致监管检查出现 2 起风险事件;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AI 质检覆盖率达 95% 以上,但质检规则和模型与线下完全独立,两份结果无法直接对比;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流程数据沉淀在线上中台,与线下 CRM/核心系统通过定时同步,实时性差。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2.2 线下双录现状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线下双录由高柜双录一体机或客户经理 PAD 移动展业完成,具备面对面销售的真实性优势,但合规风险更为突出: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客户经理需背诵话术,执行偏差大,人工抽检覆盖率不足 5%;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视频文件依赖设备本地存储,U 盘拷贝 + 上传 OSS,介质不一、容易丢失;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纸质单据与电子视频并行,签字、勾选与视频时间戳难以严格对齐;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若视频文件在传输或备份过程中被篡改,事后发现概率极低,合规证据链不完整;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客户必须在网点完成全流程,若中途离席,需重新预约,体验差。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2.3 核心痛点清单</w:t>
      </w:r>
    </w:p>
    <w:p>
      <w:pPr>
        <w:spacing w:before="120" w:after="120"/>
        <w:ind w:left="0" w:right="0"/>
        <w:shd w:val="clear" w:color="auto" w:fill="fce8eb"/>
        <w:pBdr>
          <w:left w:val="single" w:sz="18" w:space="4" w:color="d90429"/>
        </w:pBdr>
      </w:pPr>
      <w:r>
        <w:rPr>
          <w:rFonts w:ascii="Arial" w:hAnsi="Arial" w:eastAsia="Microsoft YaHei"/>
          <w:b/>
          <w:i w:val="0"/>
          <w:color w:val="D90429"/>
          <w:sz w:val="20"/>
        </w:rPr>
        <w:t xml:space="preserve">【痛点 1】 </w:t>
      </w:r>
      <w:r>
        <w:rPr>
          <w:rFonts w:ascii="Arial" w:hAnsi="Arial" w:eastAsia="Microsoft YaHei"/>
          <w:b w:val="0"/>
          <w:i w:val="0"/>
          <w:color w:val="333333"/>
          <w:sz w:val="20"/>
        </w:rPr>
        <w:t>话术互通:线上/线下两套话术,产品迭代后不同步,口径不一致引发监管风险。</w:t>
      </w:r>
    </w:p>
    <w:p>
      <w:pPr>
        <w:spacing w:before="120" w:after="120"/>
        <w:ind w:left="0" w:right="0"/>
        <w:shd w:val="clear" w:color="auto" w:fill="fce8eb"/>
        <w:pBdr>
          <w:left w:val="single" w:sz="18" w:space="4" w:color="d90429"/>
        </w:pBdr>
      </w:pPr>
      <w:r>
        <w:rPr>
          <w:rFonts w:ascii="Arial" w:hAnsi="Arial" w:eastAsia="Microsoft YaHei"/>
          <w:b/>
          <w:i w:val="0"/>
          <w:color w:val="D90429"/>
          <w:sz w:val="20"/>
        </w:rPr>
        <w:t xml:space="preserve">【痛点 2】 </w:t>
      </w:r>
      <w:r>
        <w:rPr>
          <w:rFonts w:ascii="Arial" w:hAnsi="Arial" w:eastAsia="Microsoft YaHei"/>
          <w:b w:val="0"/>
          <w:i w:val="0"/>
          <w:color w:val="333333"/>
          <w:sz w:val="20"/>
        </w:rPr>
        <w:t>视频合规:线下视频易篡改/丢失/介质不一,合规证据链不完整,事后追溯难。</w:t>
      </w:r>
    </w:p>
    <w:p>
      <w:pPr>
        <w:spacing w:before="120" w:after="120"/>
        <w:ind w:left="0" w:right="0"/>
        <w:shd w:val="clear" w:color="auto" w:fill="fce8eb"/>
        <w:pBdr>
          <w:left w:val="single" w:sz="18" w:space="4" w:color="d90429"/>
        </w:pBdr>
      </w:pPr>
      <w:r>
        <w:rPr>
          <w:rFonts w:ascii="Arial" w:hAnsi="Arial" w:eastAsia="Microsoft YaHei"/>
          <w:b/>
          <w:i w:val="0"/>
          <w:color w:val="D90429"/>
          <w:sz w:val="20"/>
        </w:rPr>
        <w:t xml:space="preserve">【痛点 3】 </w:t>
      </w:r>
      <w:r>
        <w:rPr>
          <w:rFonts w:ascii="Arial" w:hAnsi="Arial" w:eastAsia="Microsoft YaHei"/>
          <w:b w:val="0"/>
          <w:i w:val="0"/>
          <w:color w:val="333333"/>
          <w:sz w:val="20"/>
        </w:rPr>
        <w:t>质检一致:线上 AI 质检、线下人工抽检,两套标准两套结果,无法闭环。</w:t>
      </w:r>
    </w:p>
    <w:p>
      <w:pPr>
        <w:spacing w:before="120" w:after="120"/>
        <w:ind w:left="0" w:right="0"/>
        <w:shd w:val="clear" w:color="auto" w:fill="fce8eb"/>
        <w:pBdr>
          <w:left w:val="single" w:sz="18" w:space="4" w:color="d90429"/>
        </w:pBdr>
      </w:pPr>
      <w:r>
        <w:rPr>
          <w:rFonts w:ascii="Arial" w:hAnsi="Arial" w:eastAsia="Microsoft YaHei"/>
          <w:b/>
          <w:i w:val="0"/>
          <w:color w:val="D90429"/>
          <w:sz w:val="20"/>
        </w:rPr>
        <w:t xml:space="preserve">【痛点 4】 </w:t>
      </w:r>
      <w:r>
        <w:rPr>
          <w:rFonts w:ascii="Arial" w:hAnsi="Arial" w:eastAsia="Microsoft YaHei"/>
          <w:b w:val="0"/>
          <w:i w:val="0"/>
          <w:color w:val="333333"/>
          <w:sz w:val="20"/>
        </w:rPr>
        <w:t>数据原子:双录视频、订单、合同、CRM 状态分散,任一环节失败导致数据不一致。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2.4 业务影响分析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上述痛点已在多个维度形成实质影响:监管层面,2025 年内已出现 2 次监管问询;客户层面,中途中断重做率高达 12%,NPS 下降 8 分;机构层面,客户经理人均产能因合规工时被压缩 30%。本方案的设计目标即为系统性解决上述问题。</w:t>
      </w:r>
    </w:p>
    <w:p>
      <w:r>
        <w:br w:type="page"/>
      </w:r>
    </w:p>
    <w:p>
      <w:pPr>
        <w:keepNext/>
        <w:spacing w:before="360" w:after="200"/>
        <w:jc w:val="left"/>
        <w:pBdr>
          <w:bottom w:val="single" w:sz="6" w:space="1" w:color="2b2d42"/>
        </w:pBdr>
      </w:pPr>
      <w:r>
        <w:rPr>
          <w:rFonts w:ascii="Arial" w:hAnsi="Arial" w:eastAsia="Microsoft YaHei"/>
          <w:b/>
          <w:i w:val="0"/>
          <w:color w:val="2B2D42"/>
          <w:sz w:val="36"/>
        </w:rPr>
        <w:t>第 3 章  整体技术方案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3.1 设计原则</w:t>
      </w:r>
    </w:p>
    <w:p>
      <w:pPr>
        <w:pStyle w:val="ListNumber"/>
        <w:spacing w:after="40" w:line="336" w:lineRule="auto"/>
      </w:pPr>
      <w:r>
        <w:rPr>
          <w:rFonts w:ascii="Arial" w:hAnsi="Arial" w:eastAsia="Microsoft YaHei"/>
          <w:b w:val="0"/>
          <w:i w:val="0"/>
          <w:color w:val="333333"/>
          <w:sz w:val="21"/>
        </w:rPr>
        <w:t>统一性:一套业务逻辑贯穿所有接入端,避免任何形式的“线上版本”和“线下版本”分裂;</w:t>
      </w:r>
    </w:p>
    <w:p>
      <w:pPr>
        <w:pStyle w:val="ListNumber"/>
        <w:spacing w:after="40" w:line="336" w:lineRule="auto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可追溯:全链路埋点 + 区块链存证,任意一笔订单均可完整回溯;</w:t>
      </w:r>
    </w:p>
    <w:p>
      <w:pPr>
        <w:pStyle w:val="ListNumber"/>
        <w:spacing w:after="40" w:line="336" w:lineRule="auto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可降级:任一非核心模块故障,均不影响核心业务继续进行;</w:t>
      </w:r>
    </w:p>
    <w:p>
      <w:pPr>
        <w:pStyle w:val="ListNumber"/>
        <w:spacing w:after="40" w:line="336" w:lineRule="auto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可扩展:新增产品类别、新接入渠道、新增质检模型,均无需架构级改造;</w:t>
      </w:r>
    </w:p>
    <w:p>
      <w:pPr>
        <w:pStyle w:val="ListNumber"/>
        <w:spacing w:after="40" w:line="336" w:lineRule="auto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安全合规优先:国密算法、全量审计、监管直连是底线,任何优化不能以牺牲合规为代价。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3.2 整体架构图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60215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21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 w:eastAsia="Microsoft YaHei"/>
          <w:b w:val="0"/>
          <w:i/>
          <w:color w:val="6C757D"/>
          <w:sz w:val="18"/>
        </w:rPr>
        <w:t>图 3-1  线上线下双录一体化平台整体架构 (5 层 + 横切能力)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整体架构采用经典的分层设计,自上而下分为 5 个层次,并配备 5 个横切能力中心,确保核心业务逻辑与平台能力解耦。</w:t>
      </w:r>
    </w:p>
    <w:p>
      <w:pPr>
        <w:keepNext/>
        <w:spacing w:before="200" w:after="120"/>
        <w:jc w:val="left"/>
      </w:pPr>
      <w:r>
        <w:rPr>
          <w:rFonts w:ascii="Arial" w:hAnsi="Arial" w:eastAsia="Microsoft YaHei"/>
          <w:b/>
          <w:i w:val="0"/>
          <w:color w:val="1A1C2E"/>
          <w:sz w:val="24"/>
        </w:rPr>
        <w:t>3.2.1 5 个核心层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6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层次</w:t>
            </w:r>
          </w:p>
        </w:tc>
        <w:tc>
          <w:tcPr>
            <w:tcW w:type="dxa" w:w="792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包含能力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接入层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线上 H5/小程序、线下一体机、PAD 移动展业、网点 PC 端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流程编排层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BPMN 流程引擎、状态机、异常分支处理、回退补偿机制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能力中台层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统一话术中心、双录引擎、智能质检引擎、电子签、风评引擎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数据治理层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统一订单中心、分布式事务协调器、客户主数据、影像存证、审计追溯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基础底座层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国密加密、对象存储 OSS、消息中间件、统一身份/权限、监管上报通道</w:t>
            </w:r>
          </w:p>
        </w:tc>
      </w:tr>
    </w:tbl>
    <w:p>
      <w:pPr>
        <w:spacing w:after="160"/>
      </w:pPr>
    </w:p>
    <w:p>
      <w:pPr>
        <w:keepNext/>
        <w:spacing w:before="200" w:after="120"/>
        <w:jc w:val="left"/>
      </w:pPr>
      <w:r>
        <w:rPr>
          <w:rFonts w:ascii="Arial" w:hAnsi="Arial" w:eastAsia="Microsoft YaHei"/>
          <w:b/>
          <w:i w:val="0"/>
          <w:color w:val="1A1C2E"/>
          <w:sz w:val="24"/>
        </w:rPr>
        <w:t>3.2.2 5 个横切能力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6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横切能力</w:t>
            </w:r>
          </w:p>
        </w:tc>
        <w:tc>
          <w:tcPr>
            <w:tcW w:type="dxa" w:w="792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统一话术中心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话术/风险点/产品参数/合规要点统一管理,版本化 + MD5 校验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智能质检引擎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规则 + ASR/NLP/情绪 多模态 AI 质检,结果实时回传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全链路追踪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预约→双录→签单→归档全链路埋点,任意节点可定位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合规审计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监管接口直连 · 全量留痕 · 可回放,可司法采信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可视化运营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管理者驾驶舱 · 实时大屏 · 异常告警,管理决策有据可依</w:t>
            </w:r>
          </w:p>
        </w:tc>
      </w:tr>
    </w:tbl>
    <w:p>
      <w:pPr>
        <w:spacing w:after="160"/>
      </w:pP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3.3 技术选型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6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技术域</w:t>
            </w:r>
          </w:p>
        </w:tc>
        <w:tc>
          <w:tcPr>
            <w:tcW w:type="dxa" w:w="792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选型/方案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前端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Vue 3 + TypeScript + WebRTC SDK;PAD Android/iOS 原生 SDK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后端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Spring Boot 3 + Spring Cloud Alibaba + Nacos + Sentinel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流程引擎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Camunda 7 (BPMN 2.0) + 自研状态机引擎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数据库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MySQL 8.0 (MGR 集群) + Redis 6.2 Cluster + Elasticsearch 8.x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消息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Apache Kafka 3.x (3 broker,异步事件)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存储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阿里云 OSS (3 副本 EC) + 冷归档 + 区块链 (Hyperledger Fabric)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AI 能力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阿里云 ASR + 自研 NLP 模型 + 第三方情感分析 API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加密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国密 SM2/SM3/SM4 芯片级加密 + 国产密码机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监控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Prometheus + Grafana + 阿里云 ARMS + ELK 日志</w:t>
            </w:r>
          </w:p>
        </w:tc>
      </w:tr>
    </w:tbl>
    <w:p>
      <w:pPr>
        <w:spacing w:after="160"/>
      </w:pP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3.4 系统部署架构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eploy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 w:eastAsia="Microsoft YaHei"/>
          <w:b w:val="0"/>
          <w:i/>
          <w:color w:val="6C757D"/>
          <w:sz w:val="18"/>
        </w:rPr>
        <w:t>图 3-2  系统部署架构 (3 个逻辑区 + 9 个核心服务)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部署采用 DMZ/生产/办公 三网隔离架构,所有通信走国密加密 + mTLS,数据库采用 MGR 多主 + Redis 6 节点分片 + 区块链 4 节点共识,确保单点故障不影响业务连续性。</w:t>
      </w:r>
    </w:p>
    <w:p>
      <w:r>
        <w:br w:type="page"/>
      </w:r>
    </w:p>
    <w:p>
      <w:pPr>
        <w:keepNext/>
        <w:spacing w:before="360" w:after="200"/>
        <w:jc w:val="left"/>
        <w:pBdr>
          <w:bottom w:val="single" w:sz="6" w:space="1" w:color="2b2d42"/>
        </w:pBdr>
      </w:pPr>
      <w:r>
        <w:rPr>
          <w:rFonts w:ascii="Arial" w:hAnsi="Arial" w:eastAsia="Microsoft YaHei"/>
          <w:b/>
          <w:i w:val="0"/>
          <w:color w:val="2B2D42"/>
          <w:sz w:val="36"/>
        </w:rPr>
        <w:t>第 4 章  接入层详细设计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接入层承担所有客户与客户经理的交互入口,需在统一业务流程规范下适配不同终端的硬件能力、网络条件与操作习惯。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4.1 线上 H5/小程序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WebRTC + 自研音视频 SDK,支持实时音视频采集、双向对讲、本地预览;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可信时间戳嵌入视频帧水印,防止录屏伪造;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断点续传机制:网络中断后自动重连,断点处继续录制,避免重做;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双流录制:人脸画面 + 证件画面分轨保存,便于回溯;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轻量化部署,首次接入 &lt; 3MB,启动 &lt; 2 秒,适配中低端机型。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4.2 线下一体机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嵌入式定制设备,防拆卸、防篡改,仅运行受信任的应用程序;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国密 SM4 加密芯片,密钥物理隔离,无法软件提取;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本地暂存 + 4G/有线双通道实时回传,断网不丢数据;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高清摄像头 + 证件扫描仪,支持身份证、银行卡、合同 A4 全自动识别;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活体检测 + OCR 联动,核身 5 秒内完成。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4.3 PAD 移动展业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iOS/Android 原生 SDK,深度集成系统权限;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外拓场景优化:室外强光、网络弱、临时场地,均有专门适配;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GPS + WiFi 定位,佐证业务发生地点,防止异地虚假办理;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完成后立即加密上传,本地不留任何明文客户资料;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支持客户经理远程接单、跨网点支援,业务灵活度大幅提升。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4.4 网点 PC 端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营业网点大屏终端,面向 60+ 客户群体的简化版操作;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高对比度 UI + 大字体 + 语音辅助,适老化友好;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紧急情况下可由大堂经理协助操作,但所有关键节点必须客户本人确认。</w:t>
      </w:r>
    </w:p>
    <w:p>
      <w:r>
        <w:br w:type="page"/>
      </w:r>
    </w:p>
    <w:p>
      <w:pPr>
        <w:keepNext/>
        <w:spacing w:before="360" w:after="200"/>
        <w:jc w:val="left"/>
        <w:pBdr>
          <w:bottom w:val="single" w:sz="6" w:space="1" w:color="2b2d42"/>
        </w:pBdr>
      </w:pPr>
      <w:r>
        <w:rPr>
          <w:rFonts w:ascii="Arial" w:hAnsi="Arial" w:eastAsia="Microsoft YaHei"/>
          <w:b/>
          <w:i w:val="0"/>
          <w:color w:val="2B2D42"/>
          <w:sz w:val="36"/>
        </w:rPr>
        <w:t>第 5 章  流程编排层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流程编排层是整个平台的中枢,基于 BPMN 2.0 标准 + 自研状态机引擎实现。所有业务节点、跳转条件、异常分支、回退补偿均通过可视化流程定义,业务方可低代码维护。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5.1 流程引擎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基于 Camunda 7 Modeler 二次开发,支持复杂网关、排他网关、并行网关、子流程;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支持动态参数注入,话术版本、产品参数、客户等级均可作为流程变量;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支持多租户隔离,不同业务线、不同分行可独立配置流程;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流程定义版本化管理,任意历史版本可一键回滚。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5.2 状态机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ate_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 w:eastAsia="Microsoft YaHei"/>
          <w:b w:val="0"/>
          <w:i/>
          <w:color w:val="6C757D"/>
          <w:sz w:val="18"/>
        </w:rPr>
        <w:t>图 5-1  双录订单状态机 (S0→S6)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订单状态机定义 7 个核心状态(S0-S6),状态流转严格受控,任一非法跳转均被拒绝。状态变更通过 Saga 编排器持久化,支持任意时刻回放与回滚。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5.3 Saga 分布式事务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825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aga_transa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 w:eastAsia="Microsoft YaHei"/>
          <w:b w:val="0"/>
          <w:i/>
          <w:color w:val="6C757D"/>
          <w:sz w:val="18"/>
        </w:rPr>
        <w:t>图 5-2  Saga 分布式事务时序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双录流程涉及 6 个核心事务步骤(T1-T6),采用 Saga 模式实现分布式事务一致性。每一步都有对应的补偿动作,任一失败即触发自动回滚,确保不会出现半成品订单。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5.4 关键检查点(Gate)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52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Gate</w:t>
            </w:r>
          </w:p>
        </w:tc>
        <w:tc>
          <w:tcPr>
            <w:tcW w:type="dxa" w:w="3168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名称</w:t>
            </w:r>
          </w:p>
        </w:tc>
        <w:tc>
          <w:tcPr>
            <w:tcW w:type="dxa" w:w="576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不通过后果</w:t>
            </w:r>
          </w:p>
        </w:tc>
      </w:tr>
      <w:tr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G1</w:t>
            </w:r>
          </w:p>
        </w:tc>
        <w:tc>
          <w:tcPr>
            <w:tcW w:type="dxa" w:w="316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实名核身通过</w:t>
            </w:r>
          </w:p>
        </w:tc>
        <w:tc>
          <w:tcPr>
            <w:tcW w:type="dxa" w:w="57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阻断后续流程,提示客户重新核身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G2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风评等级与产品匹配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禁止购买不匹配产品,建议降级或加风险揭示</w:t>
            </w:r>
          </w:p>
        </w:tc>
      </w:tr>
      <w:tr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G3</w:t>
            </w:r>
          </w:p>
        </w:tc>
        <w:tc>
          <w:tcPr>
            <w:tcW w:type="dxa" w:w="316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话术 100% 执行</w:t>
            </w:r>
          </w:p>
        </w:tc>
        <w:tc>
          <w:tcPr>
            <w:tcW w:type="dxa" w:w="57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流程挂起,客户经理需重新执行遗漏节点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G4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客户意愿明确确认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无法签署,需重新确认或终止办理</w:t>
            </w:r>
          </w:p>
        </w:tc>
      </w:tr>
      <w:tr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G5</w:t>
            </w:r>
          </w:p>
        </w:tc>
        <w:tc>
          <w:tcPr>
            <w:tcW w:type="dxa" w:w="316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质检分数 ≥ 70</w:t>
            </w:r>
          </w:p>
        </w:tc>
        <w:tc>
          <w:tcPr>
            <w:tcW w:type="dxa" w:w="57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自动转人工复检,不可直接归档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keepNext/>
        <w:spacing w:before="360" w:after="200"/>
        <w:jc w:val="left"/>
        <w:pBdr>
          <w:bottom w:val="single" w:sz="6" w:space="1" w:color="2b2d42"/>
        </w:pBdr>
      </w:pPr>
      <w:r>
        <w:rPr>
          <w:rFonts w:ascii="Arial" w:hAnsi="Arial" w:eastAsia="Microsoft YaHei"/>
          <w:b/>
          <w:i w:val="0"/>
          <w:color w:val="2B2D42"/>
          <w:sz w:val="36"/>
        </w:rPr>
        <w:t>第 6 章  能力中台层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能力中台层是平台的核心,提供 5 大能力中心(话术/双录/质检/电子签/风评),所有业务能力以微服务形式注册到服务中心,统一对外提供 API。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6.1 统一话术中心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902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ript_atomi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0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 w:eastAsia="Microsoft YaHei"/>
          <w:b w:val="0"/>
          <w:i/>
          <w:color w:val="6C757D"/>
          <w:sz w:val="18"/>
        </w:rPr>
        <w:t>图 6-1  话术原子化结构</w:t>
      </w:r>
    </w:p>
    <w:p>
      <w:pPr>
        <w:keepNext/>
        <w:spacing w:before="200" w:after="120"/>
        <w:jc w:val="left"/>
      </w:pPr>
      <w:r>
        <w:rPr>
          <w:rFonts w:ascii="Arial" w:hAnsi="Arial" w:eastAsia="Microsoft YaHei"/>
          <w:b/>
          <w:i w:val="0"/>
          <w:color w:val="1A1C2E"/>
          <w:sz w:val="24"/>
        </w:rPr>
        <w:t>6.1.1 原子化拆解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话术被原子化拆解为 N1~Nn 共 6 类节点(问候、产品告知、风险揭示、适当性匹配、犹豫期、客户意愿)。每类节点独立配置,产品方更新话术不影响其他节点,降低维护成本。</w:t>
      </w:r>
    </w:p>
    <w:p>
      <w:pPr>
        <w:keepNext/>
        <w:spacing w:before="200" w:after="120"/>
        <w:jc w:val="left"/>
      </w:pPr>
      <w:r>
        <w:rPr>
          <w:rFonts w:ascii="Arial" w:hAnsi="Arial" w:eastAsia="Microsoft YaHei"/>
          <w:b/>
          <w:i w:val="0"/>
          <w:color w:val="1A1C2E"/>
          <w:sz w:val="24"/>
        </w:rPr>
        <w:t>6.1.2 强制约束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客户端必须完整听读完整陈述,UI 强制进度条 + 倒计时;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强制确认位必须由客户本人口头表达,ASR 校验包含「是/确认/同意」等关键词;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节点跳过即阻断,事后 100% 回放校验,人工不可干预。</w:t>
      </w:r>
    </w:p>
    <w:p>
      <w:pPr>
        <w:keepNext/>
        <w:spacing w:before="200" w:after="120"/>
        <w:jc w:val="left"/>
      </w:pPr>
      <w:r>
        <w:rPr>
          <w:rFonts w:ascii="Arial" w:hAnsi="Arial" w:eastAsia="Microsoft YaHei"/>
          <w:b/>
          <w:i w:val="0"/>
          <w:color w:val="1A1C2E"/>
          <w:sz w:val="24"/>
        </w:rPr>
        <w:t>6.1.3 版本管理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按「产品 + 监管版本 + 生效日期」三维管理;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支持灰度发布:先向 5% 流量推送,72 小时无异常后全量;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旧版本可查询、可回放,不可被新版本覆盖删除;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所有版本变更产生审计日志,可追溯至具体操作人。</w:t>
      </w:r>
    </w:p>
    <w:p>
      <w:pPr>
        <w:keepNext/>
        <w:spacing w:before="200" w:after="120"/>
        <w:jc w:val="left"/>
      </w:pPr>
      <w:r>
        <w:rPr>
          <w:rFonts w:ascii="Arial" w:hAnsi="Arial" w:eastAsia="Microsoft YaHei"/>
          <w:b/>
          <w:i w:val="0"/>
          <w:color w:val="1A1C2E"/>
          <w:sz w:val="24"/>
        </w:rPr>
        <w:t>6.1.4 统一推送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线上 SDK、线下一体机、PAD 端均通过统一 API 拉取话术,服务端用 MD5 + 版本号确保完整性,客户端本地缓存,断网情况下也能继续使用。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6.2 双录引擎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音视频采集:WebRTC 协议 + 自研 H.264/H.265 编码器,带宽自适应 1-4Mbps;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可信时间戳:嵌入视频帧水印,国家授时中心 NTP 同步,精度 ±0.5s;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本地暂存 + 实时回传,断网时本地保留 24 小时;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录制完成后自动生成 SHA-256 指纹,作为后续校验基准;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GPU 加速实时水印叠加,不显著增加客户端 CPU 负担。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6.3 智能质检引擎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902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quality_pip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0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 w:eastAsia="Microsoft YaHei"/>
          <w:b w:val="0"/>
          <w:i/>
          <w:color w:val="6C757D"/>
          <w:sz w:val="18"/>
        </w:rPr>
        <w:t>图 6-2  智能质检三层流水线</w:t>
      </w:r>
    </w:p>
    <w:p>
      <w:pPr>
        <w:keepNext/>
        <w:spacing w:before="200" w:after="120"/>
        <w:jc w:val="left"/>
      </w:pPr>
      <w:r>
        <w:rPr>
          <w:rFonts w:ascii="Arial" w:hAnsi="Arial" w:eastAsia="Microsoft YaHei"/>
          <w:b/>
          <w:i w:val="0"/>
          <w:color w:val="1A1C2E"/>
          <w:sz w:val="24"/>
        </w:rPr>
        <w:t>6.3.1 L1 规则层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100+ 规则模板覆盖:必读项检测、必答项校验、必签字校验、风险关键词、敏感词过滤。规则引擎基于 Drools,执行时间 &lt; 0.5s,准确率 &gt; 99%。</w:t>
      </w:r>
    </w:p>
    <w:p>
      <w:pPr>
        <w:keepNext/>
        <w:spacing w:before="200" w:after="120"/>
        <w:jc w:val="left"/>
      </w:pPr>
      <w:r>
        <w:rPr>
          <w:rFonts w:ascii="Arial" w:hAnsi="Arial" w:eastAsia="Microsoft YaHei"/>
          <w:b/>
          <w:i w:val="0"/>
          <w:color w:val="1A1C2E"/>
          <w:sz w:val="24"/>
        </w:rPr>
        <w:t>6.3.2 L2 AI 智能层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ASR 转写:阿里云语音识别,中文准确率 &gt; 98%,方言自适应;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NLP 意图识别:基于自研 BERT 模型的金融领域意图分类器;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情感分析:检测客户犹豫、紧张、强制话术诱导等情绪;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图像识别:人脸活体、证件真伪、签名笔迹;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声纹识别:防止录制过程换人;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多模态融合:30s 内完成综合评分,准确率 &gt; 95%。</w:t>
      </w:r>
    </w:p>
    <w:p>
      <w:pPr>
        <w:keepNext/>
        <w:spacing w:before="200" w:after="120"/>
        <w:jc w:val="left"/>
      </w:pPr>
      <w:r>
        <w:rPr>
          <w:rFonts w:ascii="Arial" w:hAnsi="Arial" w:eastAsia="Microsoft YaHei"/>
          <w:b/>
          <w:i w:val="0"/>
          <w:color w:val="1A1C2E"/>
          <w:sz w:val="24"/>
        </w:rPr>
        <w:t>6.3.3 L3 人工复核层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高风险单 100% 复检,中风险抽样 30%,低风险 5% 抽检。争议件优先处理,所有结果可申诉,申诉通道 24 小时内响应。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6.4 电子签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采用合规电子签名服务,符合《电子签名法》要求;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客户人脸核身 + 短信验证码 + 意愿确认三因子;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CA 数字证书 + 时间戳服务,签名具备司法效力;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电子合同哈希值上链区块链,事后不可篡改;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支持手写板原笔迹签名,法律效力等同纸质签名。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6.5 风险评估引擎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标准化 KYC 问卷,涵盖基本信息、投资经验、风险偏好、资金性质;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智能匹配算法:根据回答自动评定 C1-C5 五个风险等级;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风险等级与产品等级严格匹配,等级不匹配时强制升级风险揭示;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评估结果有效期 12 个月,过期必须重新评估;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评估过程与购买流程必须在同一次双录中,跨次评估视作失效(监管红线)。</w:t>
      </w:r>
    </w:p>
    <w:p>
      <w:r>
        <w:br w:type="page"/>
      </w:r>
    </w:p>
    <w:p>
      <w:pPr>
        <w:keepNext/>
        <w:spacing w:before="360" w:after="200"/>
        <w:jc w:val="left"/>
        <w:pBdr>
          <w:bottom w:val="single" w:sz="6" w:space="1" w:color="2b2d42"/>
        </w:pBdr>
      </w:pPr>
      <w:r>
        <w:rPr>
          <w:rFonts w:ascii="Arial" w:hAnsi="Arial" w:eastAsia="Microsoft YaHei"/>
          <w:b/>
          <w:i w:val="0"/>
          <w:color w:val="2B2D42"/>
          <w:sz w:val="36"/>
        </w:rPr>
        <w:t>第 7 章  数据治理层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数据治理层是平台的「记忆系统」,统一管理订单、客户、话术、风评、质检、合同等核心数据,确保数据一致性、可追溯、合规存档。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7.1 核心数据模型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ata_mod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 w:eastAsia="Microsoft YaHei"/>
          <w:b w:val="0"/>
          <w:i/>
          <w:color w:val="6C757D"/>
          <w:sz w:val="18"/>
        </w:rPr>
        <w:t>图 7-1  核心数据模型 ER 图</w:t>
      </w:r>
    </w:p>
    <w:p>
      <w:pPr>
        <w:keepNext/>
        <w:spacing w:before="200" w:after="120"/>
        <w:jc w:val="left"/>
      </w:pPr>
      <w:r>
        <w:rPr>
          <w:rFonts w:ascii="Arial" w:hAnsi="Arial" w:eastAsia="Microsoft YaHei"/>
          <w:b/>
          <w:i w:val="0"/>
          <w:color w:val="1A1C2E"/>
          <w:sz w:val="24"/>
        </w:rPr>
        <w:t>7.1.1 实体清单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实体</w:t>
            </w:r>
          </w:p>
        </w:tc>
        <w:tc>
          <w:tcPr>
            <w:tcW w:type="dxa" w:w="720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客户 (Customer)</w:t>
            </w:r>
          </w:p>
        </w:tc>
        <w:tc>
          <w:tcPr>
            <w:tcW w:type="dxa" w:w="720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全行统一客户主数据,跨业务线打通,主键 customer_id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订单 (Order)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双录业务订单,主键 order_id,关联客户、产品、风评、合同</w:t>
            </w:r>
          </w:p>
        </w:tc>
      </w:tr>
      <w:tr>
        <w:tc>
          <w:tcPr>
            <w:tcW w:type="dxa" w:w="288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双录会话 (Session)</w:t>
            </w:r>
          </w:p>
        </w:tc>
        <w:tc>
          <w:tcPr>
            <w:tcW w:type="dxa" w:w="720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一笔订单对应一个或多个双录会话,主键 session_id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话术 (Script)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原子化话术模板,主键 script_id,JSON 存储节点内容</w:t>
            </w:r>
          </w:p>
        </w:tc>
      </w:tr>
      <w:tr>
        <w:tc>
          <w:tcPr>
            <w:tcW w:type="dxa" w:w="288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风评 (RiskAssess)</w:t>
            </w:r>
          </w:p>
        </w:tc>
        <w:tc>
          <w:tcPr>
            <w:tcW w:type="dxa" w:w="720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KYC 评估结果,主键 assess_id,关联客户与订单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质检 (Quality)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智能质检结果,主键 qa_id,关联会话与评分卡</w:t>
            </w:r>
          </w:p>
        </w:tc>
      </w:tr>
      <w:tr>
        <w:tc>
          <w:tcPr>
            <w:tcW w:type="dxa" w:w="288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电子合同 (Contract)</w:t>
            </w:r>
          </w:p>
        </w:tc>
        <w:tc>
          <w:tcPr>
            <w:tcW w:type="dxa" w:w="720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电子合同文件,主键 contract_id,签名证书 + 哈希</w:t>
            </w:r>
          </w:p>
        </w:tc>
      </w:tr>
    </w:tbl>
    <w:p>
      <w:pPr>
        <w:spacing w:after="160"/>
      </w:pP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7.2 数据库设计要点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主库 MySQL 8.0 采用 MGR 多主架构,3 节点保证强一致性和高可用;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分库分表策略:订单按创建时间月分库,客户按 customer_id hash 分 64 库;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索引设计:所有外键 + 业务查询字段均建索引,慢 SQL &lt; 0.1%;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软删除:所有核心表保留 deleted_at,数据可恢复,可审计;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WORM 存储:合规相关表启用 Write Once Read Many,180 天不可修改。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7.3 分布式事务实现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采用 Saga 模式而非 2PC,原因:1)双录流程长事务(分钟级),2PC 锁资源代价过高;2)涉及外部服务较多,2PC 协调复杂;3)Saga 补偿机制天然契合「任一失败回滚」的业务诉求。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7.4 数据一致性保障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强一致:订单主表、订单状态、订单日志通过同库事务保证;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最终一致:风评、质检、合同通过事件总线异步同步,30s 内完成;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补偿机制:每一步都对应反向操作,失败时按倒序回滚;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幂等设计:所有外部调用支持重试,通过唯一业务键防重;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数据校验:T+1 自动核对所有异构存储,异常时触发告警。</w:t>
      </w:r>
    </w:p>
    <w:p>
      <w:r>
        <w:br w:type="page"/>
      </w:r>
    </w:p>
    <w:p>
      <w:pPr>
        <w:keepNext/>
        <w:spacing w:before="360" w:after="200"/>
        <w:jc w:val="left"/>
        <w:pBdr>
          <w:bottom w:val="single" w:sz="6" w:space="1" w:color="2b2d42"/>
        </w:pBdr>
      </w:pPr>
      <w:r>
        <w:rPr>
          <w:rFonts w:ascii="Arial" w:hAnsi="Arial" w:eastAsia="Microsoft YaHei"/>
          <w:b/>
          <w:i w:val="0"/>
          <w:color w:val="2B2D42"/>
          <w:sz w:val="36"/>
        </w:rPr>
        <w:t>第 8 章  业务流程详细设计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8.1 端到端主流程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nd_to_end_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 w:eastAsia="Microsoft YaHei"/>
          <w:b w:val="0"/>
          <w:i/>
          <w:color w:val="6C757D"/>
          <w:sz w:val="18"/>
        </w:rPr>
        <w:t>图 8-1  端到端业务流程 (预约 → 归档)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双录业务主流程分为 8 个阶段,每个阶段对应明确的责任主体、产出物和质量门禁。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4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阶段</w:t>
            </w:r>
          </w:p>
        </w:tc>
        <w:tc>
          <w:tcPr>
            <w:tcW w:type="dxa" w:w="360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内容</w:t>
            </w:r>
          </w:p>
        </w:tc>
        <w:tc>
          <w:tcPr>
            <w:tcW w:type="dxa" w:w="216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责任方</w:t>
            </w:r>
          </w:p>
        </w:tc>
        <w:tc>
          <w:tcPr>
            <w:tcW w:type="dxa" w:w="288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产出物</w:t>
            </w:r>
          </w:p>
        </w:tc>
      </w:tr>
      <w:tr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01 预约</w:t>
            </w:r>
          </w:p>
        </w:tc>
        <w:tc>
          <w:tcPr>
            <w:tcW w:type="dxa" w:w="360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客户身份预校验 + 产品匹配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客户/客户经理</w:t>
            </w:r>
          </w:p>
        </w:tc>
        <w:tc>
          <w:tcPr>
            <w:tcW w:type="dxa" w:w="288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预约单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02 排程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客户经理排期 + 渠道分配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客户经理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排程单</w:t>
            </w:r>
          </w:p>
        </w:tc>
      </w:tr>
      <w:tr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03 核身</w:t>
            </w:r>
          </w:p>
        </w:tc>
        <w:tc>
          <w:tcPr>
            <w:tcW w:type="dxa" w:w="360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证件 OCR + 活体检测 + 双签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客户</w:t>
            </w:r>
          </w:p>
        </w:tc>
        <w:tc>
          <w:tcPr>
            <w:tcW w:type="dxa" w:w="288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核身结果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04 风评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KYC 问卷 + 风险等级评定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客户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风评报告</w:t>
            </w:r>
          </w:p>
        </w:tc>
      </w:tr>
      <w:tr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05 双录</w:t>
            </w:r>
          </w:p>
        </w:tc>
        <w:tc>
          <w:tcPr>
            <w:tcW w:type="dxa" w:w="360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话术执行 + 音视频同步录制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客户/客户经理</w:t>
            </w:r>
          </w:p>
        </w:tc>
        <w:tc>
          <w:tcPr>
            <w:tcW w:type="dxa" w:w="288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双录视频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06 签约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电子合同 + CA 数字签名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客户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电子合同</w:t>
            </w:r>
          </w:p>
        </w:tc>
      </w:tr>
      <w:tr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07 质检</w:t>
            </w:r>
          </w:p>
        </w:tc>
        <w:tc>
          <w:tcPr>
            <w:tcW w:type="dxa" w:w="360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AI 智能 + 人工复核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系统/人工</w:t>
            </w:r>
          </w:p>
        </w:tc>
        <w:tc>
          <w:tcPr>
            <w:tcW w:type="dxa" w:w="288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质检报告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08 归档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区块链存证 + 监管上报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系统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归档凭证</w:t>
            </w:r>
          </w:p>
        </w:tc>
      </w:tr>
    </w:tbl>
    <w:p>
      <w:pPr>
        <w:spacing w:after="160"/>
      </w:pP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8.2 异常分支流程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902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xception_handl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0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 w:eastAsia="Microsoft YaHei"/>
          <w:b w:val="0"/>
          <w:i/>
          <w:color w:val="6C757D"/>
          <w:sz w:val="18"/>
        </w:rPr>
        <w:t>图 8-2  异常处理分类与恢复</w:t>
      </w:r>
    </w:p>
    <w:p>
      <w:pPr>
        <w:keepNext/>
        <w:spacing w:before="200" w:after="120"/>
        <w:jc w:val="left"/>
      </w:pPr>
      <w:r>
        <w:rPr>
          <w:rFonts w:ascii="Arial" w:hAnsi="Arial" w:eastAsia="Microsoft YaHei"/>
          <w:b/>
          <w:i w:val="0"/>
          <w:color w:val="1A1C2E"/>
          <w:sz w:val="24"/>
        </w:rPr>
        <w:t>8.2.1 三类异常处理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28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类型</w:t>
            </w:r>
          </w:p>
        </w:tc>
        <w:tc>
          <w:tcPr>
            <w:tcW w:type="dxa" w:w="432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场景示例</w:t>
            </w:r>
          </w:p>
        </w:tc>
        <w:tc>
          <w:tcPr>
            <w:tcW w:type="dxa" w:w="4032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处理策略</w:t>
            </w:r>
          </w:p>
        </w:tc>
      </w:tr>
      <w:tr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技术异常</w:t>
            </w:r>
          </w:p>
        </w:tc>
        <w:tc>
          <w:tcPr>
            <w:tcW w:type="dxa" w:w="43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网络断线/设备故障/音视频异常/OSS 上传失败</w:t>
            </w:r>
          </w:p>
        </w:tc>
        <w:tc>
          <w:tcPr>
            <w:tcW w:type="dxa" w:w="403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本地缓存 + 断点续传 + 自动告警,5s 内自动恢复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流程异常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客户拒答/话术中断/中途离席/二次确认失败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重新进入该节点,客户经理介入,30s 内可继续</w:t>
            </w:r>
          </w:p>
        </w:tc>
      </w:tr>
      <w:tr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合规异常</w:t>
            </w:r>
          </w:p>
        </w:tc>
        <w:tc>
          <w:tcPr>
            <w:tcW w:type="dxa" w:w="43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风险不匹配/证件失效/非本人办理/高风险反洗钱</w:t>
            </w:r>
          </w:p>
        </w:tc>
        <w:tc>
          <w:tcPr>
            <w:tcW w:type="dxa" w:w="403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阻断流程 + 升级审核 + 留痕上报,必须人工处理</w:t>
            </w:r>
          </w:p>
        </w:tc>
      </w:tr>
    </w:tbl>
    <w:p>
      <w:pPr>
        <w:spacing w:after="160"/>
      </w:pPr>
    </w:p>
    <w:p>
      <w:pPr>
        <w:keepNext/>
        <w:spacing w:before="200" w:after="120"/>
        <w:jc w:val="left"/>
      </w:pPr>
      <w:r>
        <w:rPr>
          <w:rFonts w:ascii="Arial" w:hAnsi="Arial" w:eastAsia="Microsoft YaHei"/>
          <w:b/>
          <w:i w:val="0"/>
          <w:color w:val="1A1C2E"/>
          <w:sz w:val="24"/>
        </w:rPr>
        <w:t>8.2.2 客户保护机制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任何异常都不能让客户「卡在流程里」。6 重保护机制确保客户体验: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多端续接:线上中断可在线下继续,反之亦然;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暂存恢复:本地加密暂存 24 小时,网络恢复自动续传;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远程协助:客户经理远程接管 + 屏幕共享;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二次预约:本次失败自动 7 天内可重新预约,无需人工;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人工兜底:复杂情况转 955xx 人工坐席;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短信进度:每完成 1 个节点,短信通知客户进度。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8.3 渠道分支策略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同一业务流程在不同渠道的载体不同,根据场景自动适配: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渠道</w:t>
            </w:r>
          </w:p>
        </w:tc>
        <w:tc>
          <w:tcPr>
            <w:tcW w:type="dxa" w:w="1728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时长</w:t>
            </w:r>
          </w:p>
        </w:tc>
        <w:tc>
          <w:tcPr>
            <w:tcW w:type="dxa" w:w="2592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客户角色</w:t>
            </w:r>
          </w:p>
        </w:tc>
        <w:tc>
          <w:tcPr>
            <w:tcW w:type="dxa" w:w="360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适用场景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线上 H5/小程序</w:t>
            </w:r>
          </w:p>
        </w:tc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5-8 分钟</w:t>
            </w:r>
          </w:p>
        </w:tc>
        <w:tc>
          <w:tcPr>
            <w:tcW w:type="dxa" w:w="259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客户自助</w:t>
            </w:r>
          </w:p>
        </w:tc>
        <w:tc>
          <w:tcPr>
            <w:tcW w:type="dxa" w:w="360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简单产品、年轻客户、远程办理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线下一体机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15-20 分钟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客户经理陪同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高净值客户、复杂产品、需面签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PAD 移动展业</w:t>
            </w:r>
          </w:p>
        </w:tc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10-15 分钟</w:t>
            </w:r>
          </w:p>
        </w:tc>
        <w:tc>
          <w:tcPr>
            <w:tcW w:type="dxa" w:w="259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客户经理上门</w:t>
            </w:r>
          </w:p>
        </w:tc>
        <w:tc>
          <w:tcPr>
            <w:tcW w:type="dxa" w:w="360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外拓场景、社区营销、企业团办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keepNext/>
        <w:spacing w:before="360" w:after="200"/>
        <w:jc w:val="left"/>
        <w:pBdr>
          <w:bottom w:val="single" w:sz="6" w:space="1" w:color="2b2d42"/>
        </w:pBdr>
      </w:pPr>
      <w:r>
        <w:rPr>
          <w:rFonts w:ascii="Arial" w:hAnsi="Arial" w:eastAsia="Microsoft YaHei"/>
          <w:b/>
          <w:i w:val="0"/>
          <w:color w:val="2B2D42"/>
          <w:sz w:val="36"/>
        </w:rPr>
        <w:t>第 9 章  话术模板详细设计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话术模板是双录合规的核心载体,本平台针对 4 类产品(保险/理财/基金/风评)分别设计标准化话术,所有话术经过法务、合规、业务三方评审。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9.1 保险产品话术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6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节点</w:t>
            </w:r>
          </w:p>
        </w:tc>
        <w:tc>
          <w:tcPr>
            <w:tcW w:type="dxa" w:w="792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标准话术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N1 问候核身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您好,我是 XX 银行客户经理 XX,本次双录将全程录音录像,作为合规凭证保存 10 年,请问您同意吗?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N2 产品告知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本产品为终身寿险(分红型),保险责任以合同条款为准,您是否清楚?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N3 风险揭示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分红型保险收益不确定,演示利率非保证,可能为零,您是否充分理解?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N4 犹豫期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您有 15 天犹豫期,期内退保仅扣 10 元工本费,是否知晓?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N5 健康告知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请如实告知健康状况,隐瞒可能影响理赔,是否如实?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N6 签字确认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以上内容均为您的真实意愿表达,是否确认投保?</w:t>
            </w:r>
          </w:p>
        </w:tc>
      </w:tr>
    </w:tbl>
    <w:p>
      <w:pPr>
        <w:spacing w:after="160"/>
      </w:pP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9.2 理财产品话术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6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节点</w:t>
            </w:r>
          </w:p>
        </w:tc>
        <w:tc>
          <w:tcPr>
            <w:tcW w:type="dxa" w:w="792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标准话术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N1 风险匹配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经评估您的风险等级为 C3(稳健型),本产品风险等级 C2,匹配通过,是否知晓?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N2 产品要素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本产品为封闭式净值型理财,期限 365 天,业绩比较基准 3.5%-4.2%。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N3 收益说明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业绩比较基准非保证收益,实际可能低于基准,本金不保证,您是否知晓?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N4 资金用途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本产品募集资金主要投资于债券和同业存单。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N5 流动性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产品封闭期内不可赎回,是否影响您的资金安排?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N6 确认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请确认知悉风险与产品要素,是否继续购买?</w:t>
            </w:r>
          </w:p>
        </w:tc>
      </w:tr>
    </w:tbl>
    <w:p>
      <w:pPr>
        <w:spacing w:after="160"/>
      </w:pP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9.3 基金产品话术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6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节点</w:t>
            </w:r>
          </w:p>
        </w:tc>
        <w:tc>
          <w:tcPr>
            <w:tcW w:type="dxa" w:w="792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标准话术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N1 适当性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经评估您的风险等级为 C4(成长型),本基金风险等级 C4,匹配通过,是否知晓?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N2 基金类型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本基金为股票型开放式基金,股票仓位不低于 80%。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N3 净值波动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基金净值随市场波动,可能出现本金损失,极端情况下亏损超过 30%,您是否理解?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N4 费率说明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申购费 1.5%,管理费 1.5%/年,托管费 0.25%/年,持有 7 天内赎回 1.5% 罚息。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N5 历史业绩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过往业绩不预示未来表现,投资需谨慎。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N6 确认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请确认已阅读《招募说明书》《风险揭示书》,是否确认申购?</w:t>
            </w:r>
          </w:p>
        </w:tc>
      </w:tr>
    </w:tbl>
    <w:p>
      <w:pPr>
        <w:spacing w:after="160"/>
      </w:pP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9.4 风险评估话术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6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节点</w:t>
            </w:r>
          </w:p>
        </w:tc>
        <w:tc>
          <w:tcPr>
            <w:tcW w:type="dxa" w:w="792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标准话术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Q1 知情同意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为给您匹配合适的产品,需先做风险评估,回答将作为销售依据,您是否同意?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Q2 收入询问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请告知您家庭的年收入范围:A.10 万以下 B.10-30 万 C.30-100 万 D.100 万以上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Q3 投资经验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您过往投资过哪些类型?股票/基金/银行理财/不动产/无,投资年限?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Q4 风险态度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若投资亏损 20%,您会:A.无法接受 B.焦虑但持有 C.可接受 D.加仓抄底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Q5 流动性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这笔资金的预计持有期限?短期(1 年内)/中期(1-3 年)/长期(3 年以上)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Q6 风险揭示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评估结果:您的风险等级为 C3(稳健型),适合 R3 及以下风险产品,是否知晓?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Q7 二次确认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以上评估基于您的真实意愿,如有虚假需承担相应责任,是否确认?</w:t>
            </w:r>
          </w:p>
        </w:tc>
      </w:tr>
    </w:tbl>
    <w:p>
      <w:pPr>
        <w:spacing w:after="160"/>
      </w:pPr>
    </w:p>
    <w:p>
      <w:pPr>
        <w:spacing w:before="120" w:after="120"/>
        <w:ind w:left="0" w:right="0"/>
        <w:shd w:val="clear" w:color="auto" w:fill="fce8eb"/>
        <w:pBdr>
          <w:left w:val="single" w:sz="18" w:space="4" w:color="d90429"/>
        </w:pBdr>
      </w:pPr>
      <w:r>
        <w:rPr>
          <w:rFonts w:ascii="Arial" w:hAnsi="Arial" w:eastAsia="Microsoft YaHei"/>
          <w:b/>
          <w:i w:val="0"/>
          <w:color w:val="D90429"/>
          <w:sz w:val="20"/>
        </w:rPr>
        <w:t xml:space="preserve">【细节点】 </w:t>
      </w:r>
      <w:r>
        <w:rPr>
          <w:rFonts w:ascii="Arial" w:hAnsi="Arial" w:eastAsia="Microsoft YaHei"/>
          <w:b w:val="0"/>
          <w:i w:val="0"/>
          <w:color w:val="333333"/>
          <w:sz w:val="20"/>
        </w:rPr>
        <w:t>风评双录关联:评估结果与产品购买必须在同一次双录中,跨次评估视作失效(监管红线)。</w:t>
      </w:r>
    </w:p>
    <w:p>
      <w:r>
        <w:br w:type="page"/>
      </w:r>
    </w:p>
    <w:p>
      <w:pPr>
        <w:keepNext/>
        <w:spacing w:before="360" w:after="200"/>
        <w:jc w:val="left"/>
        <w:pBdr>
          <w:bottom w:val="single" w:sz="6" w:space="1" w:color="2b2d42"/>
        </w:pBdr>
      </w:pPr>
      <w:r>
        <w:rPr>
          <w:rFonts w:ascii="Arial" w:hAnsi="Arial" w:eastAsia="Microsoft YaHei"/>
          <w:b/>
          <w:i w:val="0"/>
          <w:color w:val="2B2D42"/>
          <w:sz w:val="36"/>
        </w:rPr>
        <w:t>第 10 章  视频合规方案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视频合规是双录业务的「生命线」,本方案从录制、加密、存储、存证、监管对接全链路确保视频证据的法律效力。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10.1 录制规范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音视频规格:H.264/H.265 编码,720P/1080P 分辨率,音频 16kHz 采样;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时间戳:视频帧嵌入可信时间戳,精度 ±0.5s,以国家授时中心 NTP 同步;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人脸画面:客户 + 客户经理双画面 PIP(画中画),清晰度可分辨五官;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证件画面:同步展示客户身份证、银行卡、合同,确保与视频同步;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全程录制:从问候开始到签字确认结束,中间不可中断,所有节点必须连贯。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10.2 视频加密与存储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mpliance_cha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 w:eastAsia="Microsoft YaHei"/>
          <w:b w:val="0"/>
          <w:i/>
          <w:color w:val="6C757D"/>
          <w:sz w:val="18"/>
        </w:rPr>
        <w:t>图 10-1  视频合规证据链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视频采用国密 SM4 芯片级加密 → 对象存储 → SHA-256 指纹 → 区块链存证 → 监管上报全链路处理。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加密:录制完成后立即 SM4 加密,密钥与视频分离管理;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存储:OSS 3 副本 EC,按热/温/冷分层,合规要求 10 年留存;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指纹:SHA-256 哈希校验,任何篡改都会导致指纹不匹配;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存证:哈希值 + 关键元数据上链 Hyperledger Fabric,司法可采信;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监管:与银保监/证监会监管平台直连,T+1 自动报送。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10.3 存储分层策略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4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层级</w:t>
            </w:r>
          </w:p>
        </w:tc>
        <w:tc>
          <w:tcPr>
            <w:tcW w:type="dxa" w:w="216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保留期限</w:t>
            </w:r>
          </w:p>
        </w:tc>
        <w:tc>
          <w:tcPr>
            <w:tcW w:type="dxa" w:w="216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存储类型</w:t>
            </w:r>
          </w:p>
        </w:tc>
        <w:tc>
          <w:tcPr>
            <w:tcW w:type="dxa" w:w="216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访问频率</w:t>
            </w:r>
          </w:p>
        </w:tc>
        <w:tc>
          <w:tcPr>
            <w:tcW w:type="dxa" w:w="216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成本</w:t>
            </w:r>
          </w:p>
        </w:tc>
      </w:tr>
      <w:tr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热存储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0-90 天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OSS 标准型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高频访问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高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温存储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90 天-3 年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OSS 低频型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偶发查询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中</w:t>
            </w:r>
          </w:p>
        </w:tc>
      </w:tr>
      <w:tr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冷存储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3-10 年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OSS 归档型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极少查询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低</w:t>
            </w:r>
          </w:p>
        </w:tc>
      </w:tr>
    </w:tbl>
    <w:p>
      <w:pPr>
        <w:spacing w:after="160"/>
      </w:pP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10.4 调阅与审计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调阅权限:仅合规、稽核、监管人员可调阅,且需双因素认证 + 审批;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调阅记录:所有调阅行为留痕,操作人/时间/原因/范围全记录;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司法取证:支持与司法鉴定机构对接,提供完整证据包;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客户查询:客户本人可通过手机银行查询本人的双录视频(脱敏版);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监管对接:监管检查时 30 分钟内可调取任何一笔订单的全套证据。</w:t>
      </w:r>
    </w:p>
    <w:p>
      <w:r>
        <w:br w:type="page"/>
      </w:r>
    </w:p>
    <w:p>
      <w:pPr>
        <w:keepNext/>
        <w:spacing w:before="360" w:after="200"/>
        <w:jc w:val="left"/>
        <w:pBdr>
          <w:bottom w:val="single" w:sz="6" w:space="1" w:color="2b2d42"/>
        </w:pBdr>
      </w:pPr>
      <w:r>
        <w:rPr>
          <w:rFonts w:ascii="Arial" w:hAnsi="Arial" w:eastAsia="Microsoft YaHei"/>
          <w:b/>
          <w:i w:val="0"/>
          <w:color w:val="2B2D42"/>
          <w:sz w:val="36"/>
        </w:rPr>
        <w:t>第 11 章  智能质检方案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11.1 质检规则库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质检规则库是整个质检系统的基础,目前已沉淀 100+ 规则模板,按业务类型分类管理: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6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类别</w:t>
            </w:r>
          </w:p>
        </w:tc>
        <w:tc>
          <w:tcPr>
            <w:tcW w:type="dxa" w:w="792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规则示例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通用规则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必读项、必答项、必签字、风险关键词、敏感词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保险规则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犹豫期告知、如实告知、退保权利、责任免除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理财规则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业绩比较基准、封闭期、提前赎回罚息、资金用途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基金规则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风险等级匹配、净值波动警示、费率透明、风险揭示书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流程规则</w:t>
            </w:r>
          </w:p>
        </w:tc>
        <w:tc>
          <w:tcPr>
            <w:tcW w:type="dxa" w:w="79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核身通过、风评完成、签字完整、时长合理</w:t>
            </w:r>
          </w:p>
        </w:tc>
      </w:tr>
    </w:tbl>
    <w:p>
      <w:pPr>
        <w:spacing w:after="160"/>
      </w:pP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11.2 统一评分卡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线上/线下使用同一张评分卡,五大维度综合打分,确保结果可比、可对账: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144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权重</w:t>
            </w:r>
          </w:p>
        </w:tc>
        <w:tc>
          <w:tcPr>
            <w:tcW w:type="dxa" w:w="576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评分要点</w:t>
            </w:r>
          </w:p>
        </w:tc>
      </w:tr>
      <w:tr>
        <w:tc>
          <w:tcPr>
            <w:tcW w:type="dxa" w:w="288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话术完整度</w:t>
            </w:r>
          </w:p>
        </w:tc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30%</w:t>
            </w:r>
          </w:p>
        </w:tc>
        <w:tc>
          <w:tcPr>
            <w:tcW w:type="dxa" w:w="57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是否覆盖所有必读项,是否漏读关键话术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风险揭示准确度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25%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风险点是否清晰、准确,客户是否理解</w:t>
            </w:r>
          </w:p>
        </w:tc>
      </w:tr>
      <w:tr>
        <w:tc>
          <w:tcPr>
            <w:tcW w:type="dxa" w:w="288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客户确认清晰度</w:t>
            </w:r>
          </w:p>
        </w:tc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20%</w:t>
            </w:r>
          </w:p>
        </w:tc>
        <w:tc>
          <w:tcPr>
            <w:tcW w:type="dxa" w:w="57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客户确认是否明确,有无含糊其辞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音视频合规度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15%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画面/声音是否清晰,关键节点是否完整</w:t>
            </w:r>
          </w:p>
        </w:tc>
      </w:tr>
      <w:tr>
        <w:tc>
          <w:tcPr>
            <w:tcW w:type="dxa" w:w="288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流程完整度</w:t>
            </w:r>
          </w:p>
        </w:tc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10%</w:t>
            </w:r>
          </w:p>
        </w:tc>
        <w:tc>
          <w:tcPr>
            <w:tcW w:type="dxa" w:w="57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所有 Gate 是否通过,流程是否规范</w:t>
            </w:r>
          </w:p>
        </w:tc>
      </w:tr>
    </w:tbl>
    <w:p>
      <w:pPr>
        <w:spacing w:after="160"/>
      </w:pP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11.3 质检结果分级处理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评分</w:t>
            </w:r>
          </w:p>
        </w:tc>
        <w:tc>
          <w:tcPr>
            <w:tcW w:type="dxa" w:w="216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等级</w:t>
            </w:r>
          </w:p>
        </w:tc>
        <w:tc>
          <w:tcPr>
            <w:tcW w:type="dxa" w:w="576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处理方式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≥ 90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高分</w:t>
            </w:r>
          </w:p>
        </w:tc>
        <w:tc>
          <w:tcPr>
            <w:tcW w:type="dxa" w:w="57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自动归档,无需复检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70-89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中分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AI 标记异常点 + 抽检 30%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&lt; 70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低分</w:t>
            </w:r>
          </w:p>
        </w:tc>
        <w:tc>
          <w:tcPr>
            <w:tcW w:type="dxa" w:w="57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100% 人工复检,不可直接归档</w:t>
            </w:r>
          </w:p>
        </w:tc>
      </w:tr>
    </w:tbl>
    <w:p>
      <w:pPr>
        <w:spacing w:after="160"/>
      </w:pP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11.4 AI 模型管理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模型版本化:每次训练产生新版本,AB 测试 7 天后全量;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模型监控:实时监控准确率/召回率,异常自动告警;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模型回滚:任一指标下降超过 5%,自动回滚到上一稳定版本;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持续学习:人工复检结果回流到训练集,模型持续迭代;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领域适配:针对不同业务(保险/理财/基金)训练专项模型,准确率提升 10%。</w:t>
      </w:r>
    </w:p>
    <w:p>
      <w:r>
        <w:br w:type="page"/>
      </w:r>
    </w:p>
    <w:p>
      <w:pPr>
        <w:keepNext/>
        <w:spacing w:before="360" w:after="200"/>
        <w:jc w:val="left"/>
        <w:pBdr>
          <w:bottom w:val="single" w:sz="6" w:space="1" w:color="2b2d42"/>
        </w:pBdr>
      </w:pPr>
      <w:r>
        <w:rPr>
          <w:rFonts w:ascii="Arial" w:hAnsi="Arial" w:eastAsia="Microsoft YaHei"/>
          <w:b/>
          <w:i w:val="0"/>
          <w:color w:val="2B2D42"/>
          <w:sz w:val="36"/>
        </w:rPr>
        <w:t>第 12 章  安全与合规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12.1 数据安全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传输加密:所有通信采用国密 SM2 + TLS 1.3 双重加密;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存储加密:客户敏感信息(身份证/银行卡)字段级加密,密钥由硬件密码机管理;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脱敏显示:非必要场景下身份证/手机号/银行卡脱敏显示;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数据隔离:按业务线/分行/客户经理多维隔离,权限最小化;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WORM 存储:合规关键数据 180 天内不可修改、不可删除。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12.2 访问控制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统一身份:基于全行 IAM 体系,单点登录 + 多因素认证;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细粒度权限:RBAC 模型,权限可控制到字段级和操作级;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API 网关:统一入口,限流、熔断、黑白名单;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操作审计:所有操作产生审计日志,180 天留存,可追溯;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特权账号:堡垒机 + 双人复核,杜绝单人操作风险。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12.3 监管合规要求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双录视频保存期限 ≥ 10 年(保险)/ 5 年(理财基金);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电子签名符合《电子签名法》要求,具备司法效力;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客户敏感信息保护符合《个人信息保护法》要求;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反洗钱:大额/可疑交易实时上报,不留时间窗口;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监管报送:T+1 自动报送,支持监管现场检查。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12.4 应急与灾备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RTO(恢复时间目标)≤ 30 分钟,RPO(数据丢失容忍)≤ 5 分钟;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同城主备 + 异地灾备,数据库 MGR 多活;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季度灾备演练,年度跨地域切换演练;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应急响应预案:覆盖网络/数据库/应用/第三方服务 4 类故障;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7×24 小时监控值守,异常 5 分钟内响应。</w:t>
      </w:r>
    </w:p>
    <w:p>
      <w:r>
        <w:br w:type="page"/>
      </w:r>
    </w:p>
    <w:p>
      <w:pPr>
        <w:keepNext/>
        <w:spacing w:before="360" w:after="200"/>
        <w:jc w:val="left"/>
        <w:pBdr>
          <w:bottom w:val="single" w:sz="6" w:space="1" w:color="2b2d42"/>
        </w:pBdr>
      </w:pPr>
      <w:r>
        <w:rPr>
          <w:rFonts w:ascii="Arial" w:hAnsi="Arial" w:eastAsia="Microsoft YaHei"/>
          <w:b/>
          <w:i w:val="0"/>
          <w:color w:val="2B2D42"/>
          <w:sz w:val="36"/>
        </w:rPr>
        <w:t>第 13 章  接口设计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13.1 接口设计原则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RESTful 风格:URL 表示资源,HTTP 方法表示操作;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统一响应格式:所有接口返回 {code, message, data, traceId};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统一鉴权:OAuth 2.0 + JWT,所有接口必须 token 鉴权;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幂等设计:写接口支持幂等键,避免重复操作;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版本管理:URL 中带版本号 /v1/,平滑升级;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限流熔断:接入 Sentinel,保护后端服务;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全链路追踪:每个请求带 traceId,ELK 关联分析。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13.2 核心 API 列表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52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方法</w:t>
            </w:r>
          </w:p>
        </w:tc>
        <w:tc>
          <w:tcPr>
            <w:tcW w:type="dxa" w:w="432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URL</w:t>
            </w:r>
          </w:p>
        </w:tc>
        <w:tc>
          <w:tcPr>
            <w:tcW w:type="dxa" w:w="4608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POST</w:t>
            </w:r>
          </w:p>
        </w:tc>
        <w:tc>
          <w:tcPr>
            <w:tcW w:type="dxa" w:w="43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/api/v1/order/create</w:t>
            </w:r>
          </w:p>
        </w:tc>
        <w:tc>
          <w:tcPr>
            <w:tcW w:type="dxa" w:w="460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创建订单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POST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/api/v1/order/{id}/start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开始双录</w:t>
            </w:r>
          </w:p>
        </w:tc>
      </w:tr>
      <w:tr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POST</w:t>
            </w:r>
          </w:p>
        </w:tc>
        <w:tc>
          <w:tcPr>
            <w:tcW w:type="dxa" w:w="43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/api/v1/script/pull</w:t>
            </w:r>
          </w:p>
        </w:tc>
        <w:tc>
          <w:tcPr>
            <w:tcW w:type="dxa" w:w="460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拉取话术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POST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/api/v1/script/submit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提交话术执行结果</w:t>
            </w:r>
          </w:p>
        </w:tc>
      </w:tr>
      <w:tr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POST</w:t>
            </w:r>
          </w:p>
        </w:tc>
        <w:tc>
          <w:tcPr>
            <w:tcW w:type="dxa" w:w="43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/api/v1/session/upload</w:t>
            </w:r>
          </w:p>
        </w:tc>
        <w:tc>
          <w:tcPr>
            <w:tcW w:type="dxa" w:w="460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上传双录视频分片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POST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/api/v1/session/finalize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完成双录会话</w:t>
            </w:r>
          </w:p>
        </w:tc>
      </w:tr>
      <w:tr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POST</w:t>
            </w:r>
          </w:p>
        </w:tc>
        <w:tc>
          <w:tcPr>
            <w:tcW w:type="dxa" w:w="43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/api/v1/sign/apply</w:t>
            </w:r>
          </w:p>
        </w:tc>
        <w:tc>
          <w:tcPr>
            <w:tcW w:type="dxa" w:w="460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申请电子签名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POST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/api/v1/sign/verify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校验电子签名</w:t>
            </w:r>
          </w:p>
        </w:tc>
      </w:tr>
      <w:tr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POST</w:t>
            </w:r>
          </w:p>
        </w:tc>
        <w:tc>
          <w:tcPr>
            <w:tcW w:type="dxa" w:w="43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/api/v1/quality/audit</w:t>
            </w:r>
          </w:p>
        </w:tc>
        <w:tc>
          <w:tcPr>
            <w:tcW w:type="dxa" w:w="460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触发质检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GET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/api/v1/quality/{id}/result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查询质检结果</w:t>
            </w:r>
          </w:p>
        </w:tc>
      </w:tr>
      <w:tr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POST</w:t>
            </w:r>
          </w:p>
        </w:tc>
        <w:tc>
          <w:tcPr>
            <w:tcW w:type="dxa" w:w="432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/api/v1/assess/submit</w:t>
            </w:r>
          </w:p>
        </w:tc>
        <w:tc>
          <w:tcPr>
            <w:tcW w:type="dxa" w:w="460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提交风评答案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GET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/api/v1/order/{id}/status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查询订单状态</w:t>
            </w:r>
          </w:p>
        </w:tc>
      </w:tr>
    </w:tbl>
    <w:p>
      <w:pPr>
        <w:spacing w:after="160"/>
      </w:pP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13.3 异步消息协议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双录业务存在大量异步场景(质检、监管上报、消息通知),采用 Kafka 消息队列实现。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Topic 设计:dr.qual.completed(质检完成)、dr.sign.done(签约完成)、dr.archive.done(归档完成);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消息格式:CloudEvents 1.0 规范,包含事件源、时间、类型、数据;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消费模式:至少一次投递 + 消费方幂等;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失败重试:指数退避,最大重试 3 次,失败入死信队列;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监控:消费延迟、消费成功率,异常实时告警。</w:t>
      </w:r>
    </w:p>
    <w:p>
      <w:r>
        <w:br w:type="page"/>
      </w:r>
    </w:p>
    <w:p>
      <w:pPr>
        <w:keepNext/>
        <w:spacing w:before="360" w:after="200"/>
        <w:jc w:val="left"/>
        <w:pBdr>
          <w:bottom w:val="single" w:sz="6" w:space="1" w:color="2b2d42"/>
        </w:pBdr>
      </w:pPr>
      <w:r>
        <w:rPr>
          <w:rFonts w:ascii="Arial" w:hAnsi="Arial" w:eastAsia="Microsoft YaHei"/>
          <w:b/>
          <w:i w:val="0"/>
          <w:color w:val="2B2D42"/>
          <w:sz w:val="36"/>
        </w:rPr>
        <w:t>第 14 章  实施计划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14.1 项目阶段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28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阶段</w:t>
            </w:r>
          </w:p>
        </w:tc>
        <w:tc>
          <w:tcPr>
            <w:tcW w:type="dxa" w:w="144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时间</w:t>
            </w:r>
          </w:p>
        </w:tc>
        <w:tc>
          <w:tcPr>
            <w:tcW w:type="dxa" w:w="216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里程碑</w:t>
            </w:r>
          </w:p>
        </w:tc>
        <w:tc>
          <w:tcPr>
            <w:tcW w:type="dxa" w:w="4752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交付物</w:t>
            </w:r>
          </w:p>
        </w:tc>
      </w:tr>
      <w:tr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P0 基础</w:t>
            </w:r>
          </w:p>
        </w:tc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M1-M2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架构落地</w:t>
            </w:r>
          </w:p>
        </w:tc>
        <w:tc>
          <w:tcPr>
            <w:tcW w:type="dxa" w:w="47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基础平台、统一身份、对象存储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P1 话术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M3-M4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话术中心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话术原子化、版本管理、强制执行</w:t>
            </w:r>
          </w:p>
        </w:tc>
      </w:tr>
      <w:tr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P2 双录</w:t>
            </w:r>
          </w:p>
        </w:tc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M5-M7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双录引擎</w:t>
            </w:r>
          </w:p>
        </w:tc>
        <w:tc>
          <w:tcPr>
            <w:tcW w:type="dxa" w:w="47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音视频采集、加密、上传、存证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P3 质检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M8-M10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智能质检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三层质检流水线、统一评分卡</w:t>
            </w:r>
          </w:p>
        </w:tc>
      </w:tr>
      <w:tr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P4 数据</w:t>
            </w:r>
          </w:p>
        </w:tc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M11-M12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数据治理</w:t>
            </w:r>
          </w:p>
        </w:tc>
        <w:tc>
          <w:tcPr>
            <w:tcW w:type="dxa" w:w="47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分布式事务、状态机、数据一致性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P5 上线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M13-M14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试运行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灰度发布、全量上线、监控完善</w:t>
            </w:r>
          </w:p>
        </w:tc>
      </w:tr>
    </w:tbl>
    <w:p>
      <w:pPr>
        <w:spacing w:after="160"/>
      </w:pP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14.2 资源需求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开发团队:产品经理 2 人,前端 2 人,后端 6 人,AI 2 人,测试 3 人,运维 1 人;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硬件资源:应用服务器 20 台(8C16G),数据库服务器 6 台(32C128G),对象存储 100TB;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第三方服务:ASR/NLP 接口调用额度,CA 证书年费,区块链节点 4 台;</w:t>
      </w:r>
    </w:p>
    <w:p>
      <w:pPr>
        <w:pStyle w:val="ListBullet"/>
        <w:spacing w:after="40" w:line="336" w:lineRule="auto"/>
        <w:ind w:left="400"/>
      </w:pPr>
      <w:r>
        <w:rPr>
          <w:rFonts w:ascii="Arial" w:hAnsi="Arial" w:eastAsia="Microsoft YaHei"/>
          <w:b w:val="0"/>
          <w:i w:val="0"/>
          <w:color w:val="333333"/>
          <w:sz w:val="21"/>
        </w:rPr>
        <w:t>预算:首年约 1500 万(含人力/硬件/软件/培训),后续每年运维 300 万。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14.3 风险评估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4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类型</w:t>
            </w:r>
          </w:p>
        </w:tc>
        <w:tc>
          <w:tcPr>
            <w:tcW w:type="dxa" w:w="288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风险项</w:t>
            </w:r>
          </w:p>
        </w:tc>
        <w:tc>
          <w:tcPr>
            <w:tcW w:type="dxa" w:w="1152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等级</w:t>
            </w:r>
          </w:p>
        </w:tc>
        <w:tc>
          <w:tcPr>
            <w:tcW w:type="dxa" w:w="4608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应对措施</w:t>
            </w:r>
          </w:p>
        </w:tc>
      </w:tr>
      <w:tr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技术风险</w:t>
            </w:r>
          </w:p>
        </w:tc>
        <w:tc>
          <w:tcPr>
            <w:tcW w:type="dxa" w:w="288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音视频 SDK 兼容性</w:t>
            </w:r>
          </w:p>
        </w:tc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中</w:t>
            </w:r>
          </w:p>
        </w:tc>
        <w:tc>
          <w:tcPr>
            <w:tcW w:type="dxa" w:w="460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选型阶段充分测试,准备降级方案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技术风险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AI 模型准确率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中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初期保留人工兜底,持续优化</w:t>
            </w:r>
          </w:p>
        </w:tc>
      </w:tr>
      <w:tr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合规风险</w:t>
            </w:r>
          </w:p>
        </w:tc>
        <w:tc>
          <w:tcPr>
            <w:tcW w:type="dxa" w:w="288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监管政策变化</w:t>
            </w:r>
          </w:p>
        </w:tc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高</w:t>
            </w:r>
          </w:p>
        </w:tc>
        <w:tc>
          <w:tcPr>
            <w:tcW w:type="dxa" w:w="460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建立监管跟踪机制,敏捷响应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业务风险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客户接受度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中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前期用户研究 + UAT 充分验证</w:t>
            </w:r>
          </w:p>
        </w:tc>
      </w:tr>
      <w:tr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项目风险</w:t>
            </w:r>
          </w:p>
        </w:tc>
        <w:tc>
          <w:tcPr>
            <w:tcW w:type="dxa" w:w="288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跨部门协作</w:t>
            </w:r>
          </w:p>
        </w:tc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中</w:t>
            </w:r>
          </w:p>
        </w:tc>
        <w:tc>
          <w:tcPr>
            <w:tcW w:type="dxa" w:w="460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成立 PMO,周例会 + 风险升级机制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运维风险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上线故障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中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灰度发布 + 完善监控 + 应急演练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keepNext/>
        <w:spacing w:before="360" w:after="200"/>
        <w:jc w:val="left"/>
        <w:pBdr>
          <w:bottom w:val="single" w:sz="6" w:space="1" w:color="2b2d42"/>
        </w:pBdr>
      </w:pPr>
      <w:r>
        <w:rPr>
          <w:rFonts w:ascii="Arial" w:hAnsi="Arial" w:eastAsia="Microsoft YaHei"/>
          <w:b/>
          <w:i w:val="0"/>
          <w:color w:val="2B2D42"/>
          <w:sz w:val="36"/>
        </w:rPr>
        <w:t>附录 A  数据字典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本附录列出本平台核心数据表的字段定义,作为开发、测试、运维的共同参考。</w:t>
      </w: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A.1 客户表 (t_customer)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字段</w:t>
            </w:r>
          </w:p>
        </w:tc>
        <w:tc>
          <w:tcPr>
            <w:tcW w:type="dxa" w:w="1728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类型</w:t>
            </w:r>
          </w:p>
        </w:tc>
        <w:tc>
          <w:tcPr>
            <w:tcW w:type="dxa" w:w="1008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必填</w:t>
            </w:r>
          </w:p>
        </w:tc>
        <w:tc>
          <w:tcPr>
            <w:tcW w:type="dxa" w:w="5184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customer_id</w:t>
            </w:r>
          </w:p>
        </w:tc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BIGINT</w:t>
            </w:r>
          </w:p>
        </w:tc>
        <w:tc>
          <w:tcPr>
            <w:tcW w:type="dxa" w:w="100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是</w:t>
            </w:r>
          </w:p>
        </w:tc>
        <w:tc>
          <w:tcPr>
            <w:tcW w:type="dxa" w:w="5184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客户唯一标识,全局主键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name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VARCHAR(64)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是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客户姓名,加密存储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id_type</w:t>
            </w:r>
          </w:p>
        </w:tc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TINYINT</w:t>
            </w:r>
          </w:p>
        </w:tc>
        <w:tc>
          <w:tcPr>
            <w:tcW w:type="dxa" w:w="100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是</w:t>
            </w:r>
          </w:p>
        </w:tc>
        <w:tc>
          <w:tcPr>
            <w:tcW w:type="dxa" w:w="5184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证件类型 1-身份证 2-护照 3-军官证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id_no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VARCHAR(32)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是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证件号,SM4 加密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id_expire_date</w:t>
            </w:r>
          </w:p>
        </w:tc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DATE</w:t>
            </w:r>
          </w:p>
        </w:tc>
        <w:tc>
          <w:tcPr>
            <w:tcW w:type="dxa" w:w="100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否</w:t>
            </w:r>
          </w:p>
        </w:tc>
        <w:tc>
          <w:tcPr>
            <w:tcW w:type="dxa" w:w="5184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证件有效期,用于过期校验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risk_level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CHAR(2)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是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风险等级 C1-C5,默认 C1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risk_expire_at</w:t>
            </w:r>
          </w:p>
        </w:tc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DATETIME</w:t>
            </w:r>
          </w:p>
        </w:tc>
        <w:tc>
          <w:tcPr>
            <w:tcW w:type="dxa" w:w="100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是</w:t>
            </w:r>
          </w:p>
        </w:tc>
        <w:tc>
          <w:tcPr>
            <w:tcW w:type="dxa" w:w="5184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风险评估过期时间,12 个月有效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DATETIME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是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创建时间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updated_at</w:t>
            </w:r>
          </w:p>
        </w:tc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DATETIME</w:t>
            </w:r>
          </w:p>
        </w:tc>
        <w:tc>
          <w:tcPr>
            <w:tcW w:type="dxa" w:w="100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是</w:t>
            </w:r>
          </w:p>
        </w:tc>
        <w:tc>
          <w:tcPr>
            <w:tcW w:type="dxa" w:w="5184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最后修改时间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deleted_at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DATETIME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否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软删除时间</w:t>
            </w:r>
          </w:p>
        </w:tc>
      </w:tr>
    </w:tbl>
    <w:p>
      <w:pPr>
        <w:spacing w:after="160"/>
      </w:pPr>
    </w:p>
    <w:p>
      <w:pPr>
        <w:keepNext/>
        <w:spacing w:before="280" w:after="160"/>
        <w:jc w:val="left"/>
      </w:pPr>
      <w:r>
        <w:rPr>
          <w:rFonts w:ascii="Arial" w:hAnsi="Arial" w:eastAsia="Microsoft YaHei"/>
          <w:b/>
          <w:i w:val="0"/>
          <w:color w:val="2B2D42"/>
          <w:sz w:val="28"/>
        </w:rPr>
        <w:t>A.2 订单表 (t_order)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字段</w:t>
            </w:r>
          </w:p>
        </w:tc>
        <w:tc>
          <w:tcPr>
            <w:tcW w:type="dxa" w:w="1728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类型</w:t>
            </w:r>
          </w:p>
        </w:tc>
        <w:tc>
          <w:tcPr>
            <w:tcW w:type="dxa" w:w="1008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必填</w:t>
            </w:r>
          </w:p>
        </w:tc>
        <w:tc>
          <w:tcPr>
            <w:tcW w:type="dxa" w:w="5184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order_id</w:t>
            </w:r>
          </w:p>
        </w:tc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BIGINT</w:t>
            </w:r>
          </w:p>
        </w:tc>
        <w:tc>
          <w:tcPr>
            <w:tcW w:type="dxa" w:w="100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是</w:t>
            </w:r>
          </w:p>
        </w:tc>
        <w:tc>
          <w:tcPr>
            <w:tcW w:type="dxa" w:w="5184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订单唯一标识,全局主键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customer_id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是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客户 ID,外键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product_id</w:t>
            </w:r>
          </w:p>
        </w:tc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BIGINT</w:t>
            </w:r>
          </w:p>
        </w:tc>
        <w:tc>
          <w:tcPr>
            <w:tcW w:type="dxa" w:w="100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是</w:t>
            </w:r>
          </w:p>
        </w:tc>
        <w:tc>
          <w:tcPr>
            <w:tcW w:type="dxa" w:w="5184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产品 ID,外键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product_type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TINYINT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是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产品类型 1-保险 2-理财 3-基金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amount</w:t>
            </w:r>
          </w:p>
        </w:tc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DECIMAL(18,2)</w:t>
            </w:r>
          </w:p>
        </w:tc>
        <w:tc>
          <w:tcPr>
            <w:tcW w:type="dxa" w:w="100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是</w:t>
            </w:r>
          </w:p>
        </w:tc>
        <w:tc>
          <w:tcPr>
            <w:tcW w:type="dxa" w:w="5184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购买金额,分单位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state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TINYINT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是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订单状态 S0-S6,默认 S0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channel</w:t>
            </w:r>
          </w:p>
        </w:tc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TINYINT</w:t>
            </w:r>
          </w:p>
        </w:tc>
        <w:tc>
          <w:tcPr>
            <w:tcW w:type="dxa" w:w="100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是</w:t>
            </w:r>
          </w:p>
        </w:tc>
        <w:tc>
          <w:tcPr>
            <w:tcW w:type="dxa" w:w="5184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渠道 1-H5 2-一体机 3-PAD 4-PC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sales_user_id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否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客户经理 ID</w:t>
            </w:r>
          </w:p>
        </w:tc>
      </w:tr>
      <w:tr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created_at</w:t>
            </w:r>
          </w:p>
        </w:tc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DATETIME</w:t>
            </w:r>
          </w:p>
        </w:tc>
        <w:tc>
          <w:tcPr>
            <w:tcW w:type="dxa" w:w="100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是</w:t>
            </w:r>
          </w:p>
        </w:tc>
        <w:tc>
          <w:tcPr>
            <w:tcW w:type="dxa" w:w="5184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创建时间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completed_at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DATETIME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否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完成时间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keepNext/>
        <w:spacing w:before="360" w:after="200"/>
        <w:jc w:val="left"/>
        <w:pBdr>
          <w:bottom w:val="single" w:sz="6" w:space="1" w:color="2b2d42"/>
        </w:pBdr>
      </w:pPr>
      <w:r>
        <w:rPr>
          <w:rFonts w:ascii="Arial" w:hAnsi="Arial" w:eastAsia="Microsoft YaHei"/>
          <w:b/>
          <w:i w:val="0"/>
          <w:color w:val="2B2D42"/>
          <w:sz w:val="36"/>
        </w:rPr>
        <w:t>附录 B  话术模板清单</w:t>
      </w:r>
    </w:p>
    <w:p>
      <w:pPr>
        <w:spacing w:line="360" w:lineRule="auto" w:after="80" w:before="0"/>
        <w:ind w:firstLine="420"/>
        <w:jc w:val="both"/>
      </w:pPr>
      <w:r>
        <w:rPr>
          <w:rFonts w:ascii="Arial" w:hAnsi="Arial" w:eastAsia="Microsoft YaHei"/>
          <w:b w:val="0"/>
          <w:i w:val="0"/>
          <w:sz w:val="21"/>
        </w:rPr>
        <w:t>本附录列出当前已上线的全部话术模板,供业务方查阅。每个模板含版本号、生效日期、节点数。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304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模板编码</w:t>
            </w:r>
          </w:p>
        </w:tc>
        <w:tc>
          <w:tcPr>
            <w:tcW w:type="dxa" w:w="216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产品</w:t>
            </w:r>
          </w:p>
        </w:tc>
        <w:tc>
          <w:tcPr>
            <w:tcW w:type="dxa" w:w="1152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生效日期</w:t>
            </w:r>
          </w:p>
        </w:tc>
        <w:tc>
          <w:tcPr>
            <w:tcW w:type="dxa" w:w="1152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节点数</w:t>
            </w:r>
          </w:p>
        </w:tc>
        <w:tc>
          <w:tcPr>
            <w:tcW w:type="dxa" w:w="1584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2304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INS-LIFE-V3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终身寿险</w:t>
            </w:r>
          </w:p>
        </w:tc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V3.2</w:t>
            </w:r>
          </w:p>
        </w:tc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2026-01-15</w:t>
            </w:r>
          </w:p>
        </w:tc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6</w:t>
            </w:r>
          </w:p>
        </w:tc>
        <w:tc>
          <w:tcPr>
            <w:tcW w:type="dxa" w:w="1584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已上线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INS-HEALTH-V2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健康险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V2.1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2026-03-01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6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已上线</w:t>
            </w:r>
          </w:p>
        </w:tc>
      </w:tr>
      <w:tr>
        <w:tc>
          <w:tcPr>
            <w:tcW w:type="dxa" w:w="2304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WEALTH-CLOSED-V5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封闭式理财</w:t>
            </w:r>
          </w:p>
        </w:tc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V5.0</w:t>
            </w:r>
          </w:p>
        </w:tc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2026-05-20</w:t>
            </w:r>
          </w:p>
        </w:tc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6</w:t>
            </w:r>
          </w:p>
        </w:tc>
        <w:tc>
          <w:tcPr>
            <w:tcW w:type="dxa" w:w="1584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已上线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WEALTH-OPEN-V3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开放式理财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V3.4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2026-04-10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6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已上线</w:t>
            </w:r>
          </w:p>
        </w:tc>
      </w:tr>
      <w:tr>
        <w:tc>
          <w:tcPr>
            <w:tcW w:type="dxa" w:w="2304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FUND-EQ-V4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股票型基金</w:t>
            </w:r>
          </w:p>
        </w:tc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V4.1</w:t>
            </w:r>
          </w:p>
        </w:tc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2026-06-01</w:t>
            </w:r>
          </w:p>
        </w:tc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6</w:t>
            </w:r>
          </w:p>
        </w:tc>
        <w:tc>
          <w:tcPr>
            <w:tcW w:type="dxa" w:w="1584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已上线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FUND-BOND-V3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债券型基金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V3.0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2026-02-15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6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已上线</w:t>
            </w:r>
          </w:p>
        </w:tc>
      </w:tr>
      <w:tr>
        <w:tc>
          <w:tcPr>
            <w:tcW w:type="dxa" w:w="2304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RISK-KYC-V6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KYC 风险评估</w:t>
            </w:r>
          </w:p>
        </w:tc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V6.0</w:t>
            </w:r>
          </w:p>
        </w:tc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2026-07-01</w:t>
            </w:r>
          </w:p>
        </w:tc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7</w:t>
            </w:r>
          </w:p>
        </w:tc>
        <w:tc>
          <w:tcPr>
            <w:tcW w:type="dxa" w:w="1584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已上线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INS-ANNUITY-V1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年金险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V1.0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2026-07-15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6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灰度中</w:t>
            </w:r>
          </w:p>
        </w:tc>
      </w:tr>
      <w:tr>
        <w:tc>
          <w:tcPr>
            <w:tcW w:type="dxa" w:w="2304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WEALTH-MIXED-V1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混合型理财</w:t>
            </w:r>
          </w:p>
        </w:tc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V1.0</w:t>
            </w:r>
          </w:p>
        </w:tc>
        <w:tc>
          <w:tcPr>
            <w:tcW w:type="dxa" w:w="1728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2026-08-01</w:t>
            </w:r>
          </w:p>
        </w:tc>
        <w:tc>
          <w:tcPr>
            <w:tcW w:type="dxa" w:w="1152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6</w:t>
            </w:r>
          </w:p>
        </w:tc>
        <w:tc>
          <w:tcPr>
            <w:tcW w:type="dxa" w:w="1584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灰度中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keepNext/>
        <w:spacing w:before="360" w:after="200"/>
        <w:jc w:val="left"/>
        <w:pBdr>
          <w:bottom w:val="single" w:sz="6" w:space="1" w:color="2b2d42"/>
        </w:pBdr>
      </w:pPr>
      <w:r>
        <w:rPr>
          <w:rFonts w:ascii="Arial" w:hAnsi="Arial" w:eastAsia="Microsoft YaHei"/>
          <w:b/>
          <w:i w:val="0"/>
          <w:color w:val="2B2D42"/>
          <w:sz w:val="36"/>
        </w:rPr>
        <w:t>附录 C  缩略语表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4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缩写</w:t>
            </w:r>
          </w:p>
        </w:tc>
        <w:tc>
          <w:tcPr>
            <w:tcW w:type="dxa" w:w="504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英文全称</w:t>
            </w:r>
          </w:p>
        </w:tc>
        <w:tc>
          <w:tcPr>
            <w:tcW w:type="dxa" w:w="3600"/>
            <w:shd w:val="clear" w:color="auto" w:fill="2b2d4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1"/>
              </w:rPr>
              <w:t>中文释义</w:t>
            </w:r>
          </w:p>
        </w:tc>
      </w:tr>
      <w:tr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API</w:t>
            </w:r>
          </w:p>
        </w:tc>
        <w:tc>
          <w:tcPr>
            <w:tcW w:type="dxa" w:w="50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Application Programming Interface</w:t>
            </w:r>
          </w:p>
        </w:tc>
        <w:tc>
          <w:tcPr>
            <w:tcW w:type="dxa" w:w="360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应用程序编程接口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ASR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Automatic Speech Recognition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自动语音识别</w:t>
            </w:r>
          </w:p>
        </w:tc>
      </w:tr>
      <w:tr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BPMN</w:t>
            </w:r>
          </w:p>
        </w:tc>
        <w:tc>
          <w:tcPr>
            <w:tcW w:type="dxa" w:w="50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Business Process Model and Notation</w:t>
            </w:r>
          </w:p>
        </w:tc>
        <w:tc>
          <w:tcPr>
            <w:tcW w:type="dxa" w:w="360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业务流程模型与标记法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CA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Certificate Authority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数字证书认证机构</w:t>
            </w:r>
          </w:p>
        </w:tc>
      </w:tr>
      <w:tr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CRM</w:t>
            </w:r>
          </w:p>
        </w:tc>
        <w:tc>
          <w:tcPr>
            <w:tcW w:type="dxa" w:w="50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Customer Relationship Management</w:t>
            </w:r>
          </w:p>
        </w:tc>
        <w:tc>
          <w:tcPr>
            <w:tcW w:type="dxa" w:w="360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客户关系管理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DLT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Distributed Ledger Technology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分布式账本技术</w:t>
            </w:r>
          </w:p>
        </w:tc>
      </w:tr>
      <w:tr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DMZ</w:t>
            </w:r>
          </w:p>
        </w:tc>
        <w:tc>
          <w:tcPr>
            <w:tcW w:type="dxa" w:w="50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Demilitarized Zone</w:t>
            </w:r>
          </w:p>
        </w:tc>
        <w:tc>
          <w:tcPr>
            <w:tcW w:type="dxa" w:w="360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隔离区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EC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Erasure Code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纠删码</w:t>
            </w:r>
          </w:p>
        </w:tc>
      </w:tr>
      <w:tr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H5</w:t>
            </w:r>
          </w:p>
        </w:tc>
        <w:tc>
          <w:tcPr>
            <w:tcW w:type="dxa" w:w="50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HTML 5 (移动端页面)</w:t>
            </w:r>
          </w:p>
        </w:tc>
        <w:tc>
          <w:tcPr>
            <w:tcW w:type="dxa" w:w="360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HTML 5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IAM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Identity and Access Management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身份与访问管理</w:t>
            </w:r>
          </w:p>
        </w:tc>
      </w:tr>
      <w:tr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KYC</w:t>
            </w:r>
          </w:p>
        </w:tc>
        <w:tc>
          <w:tcPr>
            <w:tcW w:type="dxa" w:w="50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Know Your Customer</w:t>
            </w:r>
          </w:p>
        </w:tc>
        <w:tc>
          <w:tcPr>
            <w:tcW w:type="dxa" w:w="360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了解你的客户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MGR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MySQL Group Replication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MySQL 组复制</w:t>
            </w:r>
          </w:p>
        </w:tc>
      </w:tr>
      <w:tr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NPS</w:t>
            </w:r>
          </w:p>
        </w:tc>
        <w:tc>
          <w:tcPr>
            <w:tcW w:type="dxa" w:w="50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Net Promoter Score</w:t>
            </w:r>
          </w:p>
        </w:tc>
        <w:tc>
          <w:tcPr>
            <w:tcW w:type="dxa" w:w="360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净推荐值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NLP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Natural Language Processing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自然语言处理</w:t>
            </w:r>
          </w:p>
        </w:tc>
      </w:tr>
      <w:tr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OCR</w:t>
            </w:r>
          </w:p>
        </w:tc>
        <w:tc>
          <w:tcPr>
            <w:tcW w:type="dxa" w:w="50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Optical Character Recognition</w:t>
            </w:r>
          </w:p>
        </w:tc>
        <w:tc>
          <w:tcPr>
            <w:tcW w:type="dxa" w:w="360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光学字符识别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OSS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Object Storage Service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对象存储服务</w:t>
            </w:r>
          </w:p>
        </w:tc>
      </w:tr>
      <w:tr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REST</w:t>
            </w:r>
          </w:p>
        </w:tc>
        <w:tc>
          <w:tcPr>
            <w:tcW w:type="dxa" w:w="50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Representational State Transfer</w:t>
            </w:r>
          </w:p>
        </w:tc>
        <w:tc>
          <w:tcPr>
            <w:tcW w:type="dxa" w:w="360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表述性状态转移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RPO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Recovery Point Objective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恢复点目标</w:t>
            </w:r>
          </w:p>
        </w:tc>
      </w:tr>
      <w:tr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RTO</w:t>
            </w:r>
          </w:p>
        </w:tc>
        <w:tc>
          <w:tcPr>
            <w:tcW w:type="dxa" w:w="50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Recovery Time Objective</w:t>
            </w:r>
          </w:p>
        </w:tc>
        <w:tc>
          <w:tcPr>
            <w:tcW w:type="dxa" w:w="360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恢复时间目标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SDK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Software Development Kit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软件开发工具包</w:t>
            </w:r>
          </w:p>
        </w:tc>
      </w:tr>
      <w:tr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SLA</w:t>
            </w:r>
          </w:p>
        </w:tc>
        <w:tc>
          <w:tcPr>
            <w:tcW w:type="dxa" w:w="50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Service Level Agreement</w:t>
            </w:r>
          </w:p>
        </w:tc>
        <w:tc>
          <w:tcPr>
            <w:tcW w:type="dxa" w:w="360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服务等级协议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SM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ShangMi (国密算法)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中国国家密码算法</w:t>
            </w:r>
          </w:p>
        </w:tc>
      </w:tr>
      <w:tr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TPS</w:t>
            </w:r>
          </w:p>
        </w:tc>
        <w:tc>
          <w:tcPr>
            <w:tcW w:type="dxa" w:w="50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Transactions Per Second</w:t>
            </w:r>
          </w:p>
        </w:tc>
        <w:tc>
          <w:tcPr>
            <w:tcW w:type="dxa" w:w="360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每秒事务数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WAF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Web Application Firewall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Web 应用防火墙</w:t>
            </w:r>
          </w:p>
        </w:tc>
      </w:tr>
      <w:tr>
        <w:tc>
          <w:tcPr>
            <w:tcW w:type="dxa" w:w="14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WORM</w:t>
            </w:r>
          </w:p>
        </w:tc>
        <w:tc>
          <w:tcPr>
            <w:tcW w:type="dxa" w:w="504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Write Once Read Many</w:t>
            </w:r>
          </w:p>
        </w:tc>
        <w:tc>
          <w:tcPr>
            <w:tcW w:type="dxa" w:w="3600"/>
            <w:vAlign w:val="center"/>
            <w:shd w:val="clear" w:color="auto" w:fill="f5f7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i w:val="0"/>
                <w:color w:val="333333"/>
                <w:sz w:val="20"/>
              </w:rPr>
              <w:t>一次写入多次读取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8D99AE"/>
        <w:sz w:val="18"/>
      </w:rPr>
      <w:t>V1.0  |  2026</w:t>
    </w:r>
    <w:r>
      <w:tab/>
      <w:tab/>
    </w:r>
    <w:r>
      <w:rPr>
        <w:rFonts w:ascii="Arial" w:hAnsi="Arial" w:eastAsia="Microsoft YaHei"/>
        <w:b w:val="0"/>
        <w:i w:val="0"/>
        <w:color w:val="8D99AE"/>
        <w:sz w:val="18"/>
      </w:rPr>
      <w:fldChar w:fldCharType="begin"/>
      <w:instrText>PAGE</w:instrText>
      <w:fldChar w:fldCharType="end"/>
    </w:r>
    <w:r>
      <w:rPr>
        <w:rFonts w:ascii="Arial" w:hAnsi="Arial" w:eastAsia="Microsoft YaHei"/>
        <w:b w:val="0"/>
        <w:i w:val="0"/>
        <w:color w:val="8D99AE"/>
        <w:sz w:val="18"/>
      </w:rPr>
      <w:t xml:space="preserve"> / </w:t>
    </w:r>
    <w:r>
      <w:rPr>
        <w:rFonts w:ascii="Arial" w:hAnsi="Arial" w:eastAsia="Microsoft YaHei"/>
        <w:b w:val="0"/>
        <w:i w:val="0"/>
        <w:color w:val="8D99AE"/>
        <w:sz w:val="18"/>
      </w:rPr>
      <w:fldChar w:fldCharType="begin"/>
      <w:instrText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i w:val="0"/>
        <w:color w:val="8D99AE"/>
        <w:sz w:val="18"/>
      </w:rPr>
      <w:t>线上线下双录一体化技术方案说明书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