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/>
          <w:b/>
          <w:color w:val="2B2D42"/>
          <w:sz w:val="72"/>
          <w:rFonts w:eastAsia="Microsoft YaHei" w:ascii="Microsoft YaHei" w:hAnsi="Microsoft YaHei"/>
        </w:rPr>
        <w:t>双录一体化平台</w:t>
      </w:r>
    </w:p>
    <w:p>
      <w:pPr>
        <w:spacing w:before="240"/>
        <w:jc w:val="center"/>
      </w:pPr>
      <w:r>
        <w:rPr>
          <w:rFonts w:ascii="Microsoft YaHei" w:hAnsi="Microsoft YaHei"/>
          <w:b/>
          <w:color w:val="D90429"/>
          <w:sz w:val="56"/>
          <w:rFonts w:eastAsia="Microsoft YaHei" w:ascii="Microsoft YaHei" w:hAnsi="Microsoft YaHei"/>
        </w:rPr>
        <w:t>渗透测试报告</w:t>
      </w:r>
    </w:p>
    <w:p>
      <w:pPr>
        <w:spacing w:before="960"/>
        <w:jc w:val="center"/>
      </w:pPr>
      <w:r>
        <w:rPr>
          <w:rFonts w:ascii="Arial" w:hAnsi="Arial"/>
          <w:b w:val="0"/>
          <w:color w:val="8D99AE"/>
          <w:sz w:val="32"/>
          <w:rFonts w:eastAsia="Arial" w:ascii="Arial" w:hAnsi="Arial"/>
        </w:rPr>
        <w:t>Penetration Test Report</w:t>
      </w:r>
    </w:p>
    <w:p>
      <w:pPr>
        <w:spacing w:before="3600"/>
        <w:jc w:val="center"/>
      </w:pPr>
      <w:r>
        <w:rPr>
          <w:rFonts w:ascii="Microsoft YaHei" w:hAnsi="Microsoft YaHei"/>
          <w:b w:val="0"/>
          <w:sz w:val="28"/>
          <w:rFonts w:eastAsia="Microsoft YaHei" w:ascii="Microsoft YaHei" w:hAnsi="Microsoft YaHei"/>
        </w:rPr>
        <w:t>版本: 1.0</w:t>
      </w:r>
    </w:p>
    <w:p>
      <w:pPr>
        <w:spacing w:before="240"/>
        <w:jc w:val="center"/>
      </w:pPr>
      <w:r>
        <w:rPr>
          <w:rFonts w:ascii="Microsoft YaHei" w:hAnsi="Microsoft YaHei"/>
          <w:b w:val="0"/>
          <w:sz w:val="28"/>
          <w:rFonts w:eastAsia="Microsoft YaHei" w:ascii="Microsoft YaHei" w:hAnsi="Microsoft YaHei"/>
        </w:rPr>
        <w:t>日期: 2026-08-01</w:t>
      </w:r>
    </w:p>
    <w:p>
      <w:pPr>
        <w:spacing w:before="240"/>
        <w:jc w:val="center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报告等级:机密(Confidential)</w:t>
      </w:r>
    </w:p>
    <w:p>
      <w:pPr>
        <w:spacing w:before="1600"/>
        <w:jc w:val="center"/>
      </w:pPr>
      <w:r>
        <w:rPr>
          <w:rFonts w:ascii="Microsoft YaHei" w:hAnsi="Microsoft YaHei"/>
          <w:b w:val="0"/>
          <w:color w:val="8D99AE"/>
          <w:sz w:val="22"/>
          <w:rFonts w:eastAsia="Microsoft YaHei" w:ascii="Microsoft YaHei" w:hAnsi="Microsoft YaHei"/>
        </w:rPr>
        <w:t>测试标准:OWASP Top 10 2021 / GB/T 22239-2019 / PCI DSS 4.0</w:t>
      </w:r>
    </w:p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1. 执行摘要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1.1 总体结论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经 5 天(2026-07-25 至 2026-07-30)由 4 名高级安全工程师进行的深度渗透测试,双录一体化平台整体安全态势良好,关键核心模块(国密、链码、API 网关)达到金融行业生产标准,但仍有 17 个发现(其中 1 个高危、4 个中危、12 个低危),建议在上线前完成高危和中危的修复。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1.2 风险总览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风险等级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数量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严重(Critical)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高危(High)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中危(Medium)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23.5%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低危(Low)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70.6%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信息(Info)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100%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1.3 关键发现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ID</w:t>
            </w:r>
          </w:p>
        </w:tc>
        <w:tc>
          <w:tcPr>
            <w:tcW w:type="dxa" w:w="1152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等级</w:t>
            </w:r>
          </w:p>
        </w:tc>
        <w:tc>
          <w:tcPr>
            <w:tcW w:type="dxa" w:w="43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漏洞名称</w:t>
            </w:r>
          </w:p>
        </w:tc>
        <w:tc>
          <w:tcPr>
            <w:tcW w:type="dxa" w:w="1152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DRL-2026-001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高危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分布式限流绕过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DRL-2026-002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中危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JWT Token 缺乏撤销机制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DRL-2026-003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中危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Spring Boot Actuator 暴露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DRL-2026-004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中危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WebSocket CORS 配置过宽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DRL-2026-005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中危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链码事件重放风险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1.4 合规符合性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标准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符合度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OWASP Top 10 2021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满足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GB/T 22239-2019 等保 2.0 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满足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PCI DSS 4.0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88%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 项差距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JR/T 0068-2020 金融行业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92%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满足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银保监《保险销售行为可回溯管理办法》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满足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2. 测试范围与方法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2.1 测试范围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系统</w:t>
            </w:r>
          </w:p>
        </w:tc>
        <w:tc>
          <w:tcPr>
            <w:tcW w:type="dxa" w:w="2592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URL/IP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类型</w:t>
            </w:r>
          </w:p>
        </w:tc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关键资产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前端 SPA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https://dr.bank.com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客户资料、视频流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业务后端 API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https://api.bank.com/dr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JWT、SQL、Fabric Gateway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 Peer 节点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 Peer × 4 Org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Fabric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国密签名、智能合约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WebRTC SFU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wss://sfu.bank.com/ws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WebSocket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视频会话控制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Kafka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10.0.0.10:9092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MQ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Redis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10.0.0.20:6379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Cache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限流、缓存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MySQL</w:t>
            </w:r>
          </w:p>
        </w:tc>
        <w:tc>
          <w:tcPr>
            <w:tcW w:type="dxa" w:w="259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10.0.0.30:3306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17 张业务表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方法</w:t>
            </w:r>
          </w:p>
        </w:tc>
        <w:tc>
          <w:tcPr>
            <w:tcW w:type="dxa" w:w="360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工具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黑盒测试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Burp Suite Pro, OWASP ZAP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API、Web 界面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灰盒测试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自研脚本、Postman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业务逻辑、越权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白盒测试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CodeQL, SonarQube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源码审计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网络渗透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Nmap, Metasploit, Hydra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端口扫描、暴力破解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密码学测试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自研 + Crypto++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国密算法实现强度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链码专项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fabric-sdk-go, custom scripts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链码逻辑、共识、事件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客户端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Frida, MobSF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PAD/Android 客户端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3. 漏洞发现汇总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完整漏洞列表如下: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#</w:t>
            </w:r>
          </w:p>
        </w:tc>
        <w:tc>
          <w:tcPr>
            <w:tcW w:type="dxa" w:w="1728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ID</w:t>
            </w:r>
          </w:p>
        </w:tc>
        <w:tc>
          <w:tcPr>
            <w:tcW w:type="dxa" w:w="1008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等级</w:t>
            </w:r>
          </w:p>
        </w:tc>
        <w:tc>
          <w:tcPr>
            <w:tcW w:type="dxa" w:w="2304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名称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模块</w:t>
            </w:r>
          </w:p>
        </w:tc>
        <w:tc>
          <w:tcPr>
            <w:tcW w:type="dxa" w:w="7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CVSS</w:t>
            </w:r>
          </w:p>
        </w:tc>
        <w:tc>
          <w:tcPr>
            <w:tcW w:type="dxa" w:w="864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状态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DRL-2026-001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分布式限流绕过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 Gateway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DRL-2026-002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JWT 撤销机制缺失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Auth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6.5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DRL-2026-003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Actuator 端点暴露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Backend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6.1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DRL-2026-004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WebSocket CORS 过宽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SFU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5.3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DRL-2026-005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链码事件缺乏 nonce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Fabric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5.0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待修复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DRL-2026-006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错误信息泄露堆栈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Backend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3.7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DRL-2026-007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Cookie HttpOnly 缺失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Frontend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DRL-2026-008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缺少 CSP 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Frontend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DRL-2026-009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缺少 HSTS 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Nginx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DRL-2026-010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用户枚举风险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Auth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DRL-2026-011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弱密码策略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Auth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DRL-2026-012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缺少审计日志完整性校验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Audit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3.0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DRL-2026-013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数据库连接串密码硬编码风险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Config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2.9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DRL-2026-014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SM4 密钥未定期轮换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Crypto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2.7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DRL-2026-015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客户端 LocalStorage 加密缺失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Frontend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2.7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DRL-2026-016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缺少 API 限流提示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DRL-2026-017</w:t>
            </w:r>
          </w:p>
        </w:tc>
        <w:tc>
          <w:tcPr>
            <w:tcW w:type="dxa" w:w="100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链码方法权限粒度粗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Fabric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建议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4. 重点漏洞详情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4.1 DRL-2026-001 分布式限流绕过(高危)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CVSS: 7.5 | 模块: API Gateway | 状态: 待修复(P0)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问题描述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当前限流基于 Guava RateLimiter(单 JVM 内存),多实例部署时每个实例独立计数,4 节点 × 20/s = 80/s 总限流,但攻击者用 1000 个代理 IP 即可绕过。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测试方法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for i in {1..30}; do</w:t>
        <w:br/>
        <w:t xml:space="preserve">  curl https://api.bank.com/dr/api/auth/login -d '...'</w:t>
        <w:br/>
        <w:t>done</w:t>
        <w:br/>
        <w:t># 单 IP:429</w:t>
        <w:br/>
        <w:t># 多 IP:绕过成功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影响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暴力破解登录(密码穷举)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短信炸弹(验证码接口)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链码写交易洪水攻击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修复方案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@Component</w:t>
        <w:br/>
        <w:t>public class RedisRateLimiter {</w:t>
        <w:br/>
        <w:t xml:space="preserve">  @Autowired private StringRedisTemplate redis;</w:t>
        <w:br/>
        <w:t xml:space="preserve">  private static final String LUA_SCRIPT = """</w:t>
        <w:br/>
        <w:t xml:space="preserve">    local key = KEYS[1]</w:t>
        <w:br/>
        <w:t xml:space="preserve">    local limit = tonumber(ARGV[1])</w:t>
        <w:br/>
        <w:t xml:space="preserve">    local cur = redis.call('INCR', key)</w:t>
        <w:br/>
        <w:t xml:space="preserve">    if cur == 1 then</w:t>
        <w:br/>
        <w:t xml:space="preserve">      redis.call('EXPIRE', key, ARGV[2])</w:t>
        <w:br/>
        <w:t xml:space="preserve">    end</w:t>
        <w:br/>
        <w:t xml:space="preserve">    if cur &gt; limit then return 0 end</w:t>
        <w:br/>
        <w:t xml:space="preserve">    return 1</w:t>
        <w:br/>
        <w:t xml:space="preserve">  """;</w:t>
        <w:br/>
        <w:t xml:space="preserve">  public boolean tryAcquire(String key, int limit, int period) {</w:t>
        <w:br/>
        <w:t xml:space="preserve">    // 分布式限流实现</w:t>
        <w:br/>
        <w:t xml:space="preserve">  }</w:t>
        <w:br/>
        <w:t>}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修复优先级: P0(2 周内)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4.2 DRL-2026-002 JWT 撤销机制缺失(中危)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CVSS: 6.5 | 模块: Auth | 状态: 待修复(P1)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问题描述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JWT 一旦签发,在过期前(2 小时)始终有效。用户登出后 Token 仍可使用;Token 泄露后无法撤销。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测试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# 用户登出后,旧 token 仍能访问</w:t>
        <w:br/>
        <w:t>curl -H "Authorization: Bearer &lt;已登出 token&gt;" \</w:t>
        <w:br/>
        <w:t xml:space="preserve">     https://api.bank.com/dr/api/auth/me</w:t>
        <w:br/>
        <w:t># 返回 200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修复方案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@Component</w:t>
        <w:br/>
        <w:t>public class TokenBlacklist {</w:t>
        <w:br/>
        <w:t xml:space="preserve">  @Autowired private StringRedisTemplate redis;</w:t>
        <w:br/>
        <w:t xml:space="preserve">  public void revoke(String jti, long expiresIn) {</w:t>
        <w:br/>
        <w:t xml:space="preserve">    redis.opsForValue().set("jwt:revoked:" + jti, "1",</w:t>
        <w:br/>
        <w:t xml:space="preserve">      Duration.ofSeconds(expiresIn));</w:t>
        <w:br/>
        <w:t xml:space="preserve">  }</w:t>
        <w:br/>
        <w:t xml:space="preserve">  public boolean isRevoked(String jti) {</w:t>
        <w:br/>
        <w:t xml:space="preserve">    return Boolean.TRUE.equals(redis.hasKey("jwt:revoked:" + jti));</w:t>
        <w:br/>
        <w:t xml:space="preserve">  }</w:t>
        <w:br/>
        <w:t>}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4.3 DRL-2026-003 Spring Boot Actuator 暴露(中危)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CVSS: 6.1 | 模块: Backend | 状态: 待修复(P1)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问题描述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/actuator/env, /actuator/heapdump 等敏感端点未限制访问,泄露所有环境变量(DB_PASSWORD、JWT_SECRET、FABRIC_WALLET_PATH)。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测试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curl https://api.bank.com/dr/actuator/env</w:t>
        <w:br/>
        <w:t># 泄露: DB_PASSWORD, JWT_SECRET, FABRIC_WALLET_PATH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修复方案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# application.yml</w:t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</w:t>
        <w:br/>
        <w:t xml:space="preserve">  endpoint:</w:t>
        <w:br/>
        <w:t xml:space="preserve">    health:</w:t>
        <w:br/>
        <w:t xml:space="preserve">      show-details: never</w:t>
        <w:br/>
        <w:br/>
        <w:t># SecurityConfig</w:t>
        <w:br/>
        <w:t>http.authorizeHttpRequests(auth -&gt; auth</w:t>
        <w:br/>
        <w:t xml:space="preserve">    .requestMatchers("/actuator/**").hasIpAddress("10.0.0.0/8")</w:t>
        <w:br/>
        <w:t xml:space="preserve">    .anyRequest().authenticated()</w:t>
        <w:br/>
        <w:t>);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4.4 DRL-2026-005 链码事件重放风险(中危)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CVSS: 5.0 | 模块: Fabric | 状态: 待修复(P1)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问题描述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SetEvent 事件无唯一性 nonce,可能被中继重放,导致同一事件被业务系统处理两次,订单状态被错误推进。</w:t>
      </w:r>
    </w:p>
    <w:p>
      <w:pPr>
        <w:keepNext/>
        <w:spacing w:before="160" w:after="80"/>
      </w:pPr>
      <w:r>
        <w:rPr>
          <w:rFonts w:ascii="Microsoft YaHei" w:hAnsi="Microsoft YaHei"/>
          <w:b/>
          <w:sz w:val="24"/>
          <w:rFonts w:eastAsia="Microsoft YaHei" w:ascii="Microsoft YaHei" w:hAnsi="Microsoft YaHei"/>
        </w:rPr>
        <w:t>修复方案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// Java 链码</w:t>
        <w:br/>
        <w:t>String nonce = UUID.randomUUID().toString();</w:t>
        <w:br/>
        <w:t>ctx.getStub().setEvent("StateChanged",</w:t>
        <w:br/>
        <w:t xml:space="preserve">  payload + ",\"nonce\":\"" + nonce + "\"");</w:t>
        <w:br/>
        <w:br/>
        <w:t>// 后端消费</w:t>
        <w:br/>
        <w:t>String nonce = parsed.get("nonce");</w:t>
        <w:br/>
        <w:t>if (!redis.setIfAbsent("event:nonce:" + nonce, "1", 24h)) {</w:t>
        <w:br/>
        <w:t xml:space="preserve">  log.warn("事件重放: nonce={}", nonce);</w:t>
        <w:br/>
        <w:t xml:space="preserve">  return;</w:t>
        <w:br/>
        <w:t>}</w:t>
      </w:r>
    </w:p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5. 国密模块专项测试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5.1 SM3 摘要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测试方法:NIST KAT(已知答案测试):1000 个随机向量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全部 1000 个 KAT 通过 ✓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抗碰撞、抗长度扩展 ✓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性能: 100KB 数据 &lt; 5ms ✓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5.2 SM2 签名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测试场景</w:t>
            </w:r>
          </w:p>
        </w:tc>
        <w:tc>
          <w:tcPr>
            <w:tcW w:type="dxa" w:w="360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结果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签名伪造(100 万次随机)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不可伪造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签名重放(同签名多次提交)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无重放风险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跨密钥对验证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正确拒绝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Sony PS3 攻击(确定性 nonce 缺失)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理论风险 ⚠️ 需修复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5.3 SM4 对称加密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测试场景</w:t>
            </w:r>
          </w:p>
        </w:tc>
        <w:tc>
          <w:tcPr>
            <w:tcW w:type="dxa" w:w="360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结果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密钥穷举(2^256)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理论不可行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侧信道(时序攻击)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constant-time 实现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IV 复用攻击(CBC)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IV 每次随机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Padding oracle(PKCS7)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已防护 ✓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5.4 密钥管理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SM4 主密钥配置后未设轮换周期(DRL-2026-014):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建议:90 天轮换,KMS 统一管理,旧密钥保留 1 年用于解密历史数据。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私钥存储:业务系统 SM2 私钥存于 HSM(国密),链码运行在 SGX 内,符合金融行业要求。</w:t>
      </w:r>
    </w:p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6. 链码安全评估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6.1 共识安全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测试场景</w:t>
            </w:r>
          </w:p>
        </w:tc>
        <w:tc>
          <w:tcPr>
            <w:tcW w:type="dxa" w:w="360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结果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 节点中 1 节点宕机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仍可达成共识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 节点中 2 节点宕机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共识失败(预期降级)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恶意节点发送冲突交易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共识拒绝 ✓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双花攻击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 nonce 防重放 ✓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6.2 智能合约漏洞扫描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扫描工具:Mythril, Slither, 自研规则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漏洞</w:t>
            </w:r>
          </w:p>
        </w:tc>
        <w:tc>
          <w:tcPr>
            <w:tcW w:type="dxa" w:w="1728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风险</w:t>
            </w:r>
          </w:p>
        </w:tc>
        <w:tc>
          <w:tcPr>
            <w:tcW w:type="dxa" w:w="4032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链码状态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重入攻击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High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已用 checks-effects-interactions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整数溢出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Java BigInteger 自动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未检查返回值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Java 异常强制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拒绝服务(Gas)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N/A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Fabric 无 Gas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权限控制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Medium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需增加 ABAC ⚠️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时间戳依赖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Low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共识时间 ✓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6.3 链码方法权限改进(DRL-2026-017)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当前链码方法粒度过粗,任何 Peer 可调用任何方法。建议:</w:t>
      </w:r>
    </w:p>
    <w:p>
      <w:pPr>
        <w:ind w:left="400"/>
      </w:pPr>
      <w:r>
        <w:rPr>
          <w:rFonts w:ascii="Consolas" w:hAnsi="Consolas"/>
          <w:b w:val="0"/>
          <w:sz w:val="18"/>
          <w:rFonts w:eastAsia="Consolas" w:ascii="Consolas" w:hAnsi="Consolas"/>
        </w:rPr>
        <w:t>// Java 链码 - 增加 MSP ID 校验</w:t>
        <w:br/>
        <w:t>ClientIdentity cid = ctx.getClientIdentity();</w:t>
        <w:br/>
        <w:t>String mspId = cid.getMspId();</w:t>
        <w:br/>
        <w:t>if (mspId.equals("BankMSP")) {</w:t>
        <w:br/>
        <w:t xml:space="preserve">  // 允许</w:t>
        <w:br/>
        <w:t>} else {</w:t>
        <w:br/>
        <w:t xml:space="preserve">  throw new RuntimeException("权限不足: " + mspId);</w:t>
        <w:br/>
        <w:t>}</w:t>
      </w:r>
    </w:p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7. API 安全评估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7.1 OWASP API Security Top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类别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评估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API1 破损的对象级授权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checkOrderOwnership 切面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API2 破损的用户认证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⚠️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JWT 撤销(待修)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API3 破损的对象属性级授权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DTO 字段过滤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API4 不受限制的资源消耗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⚠️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分布式限流(待修)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API5 破损的功能级授权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RBAC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API6 不受限制的业务流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状态机校验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API7 服务器端请求伪造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无外网请求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API8 安全配置错误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⚠️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Actuator 暴露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API9 不当的资产管理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文档化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API10 日志与监控不足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⚠️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审计日志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7.2 SQL 注入复测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工具:sqlmap 1.7-stable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测试端点:17 个 SQL 涉及接口(登录/注册/订单/会话/合同/质检/审计/客户...)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结果:17/17 参数化查询,无注入风险 ✓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7.3 越权测试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场景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结果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经理 A 访问经理 B 的订单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403 ✓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 A 访问客户 B 的订单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403 ✓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普通用户访问管理员接口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403 ✓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跨网点访问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403 ✓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8. 风险评级与修复建议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8.1 修复优先级矩阵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时限</w:t>
            </w:r>
          </w:p>
        </w:tc>
        <w:tc>
          <w:tcPr>
            <w:tcW w:type="dxa" w:w="50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项目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 周内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DRL-2026-001(分布式限流)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 个月内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DRL-2026-002/003/005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 个月内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DRL-2026-004/006/007/008/009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6 个月内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DRL-2026-010 ~ 017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8.2 总体投资估算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项目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人月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优先级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限流改造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JWT 改造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链码改造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客户端安全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监控告警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国密增强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文档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P2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 人月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-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8.3 上线前最低要求</w:t>
      </w:r>
    </w:p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为确保生产环境安全,以下项目必须在正式上线前完成修复: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✓ DRL-2026-001 分布式限流(P0)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✓ DRL-2026-002 JWT 撤销(P1)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✓ DRL-2026-003 Actuator 限制(P1)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✓ DRL-2026-005 链码事件 nonce(P1)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✓ 至少完成 P0/P1 项目的回归测试</w:t>
      </w:r>
    </w:p>
    <w:p>
      <w:r>
        <w:br w:type="page"/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2B2D42"/>
          <w:sz w:val="36"/>
          <w:rFonts w:eastAsia="Microsoft YaHei" w:ascii="Microsoft YaHei" w:hAnsi="Microsoft YaHei"/>
        </w:rPr>
        <w:t>9. 附录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附录 A:测试用例矩阵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类别</w:t>
            </w:r>
          </w:p>
        </w:tc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用例数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通过</w:t>
            </w:r>
          </w:p>
        </w:tc>
        <w:tc>
          <w:tcPr>
            <w:tcW w:type="dxa" w:w="216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OWASP Top 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192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8(已修)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OWASP API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95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5(已修)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渗透路径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业务越权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2(已修)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国密专项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链码专项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520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21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附录 B:工具清单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工具</w:t>
            </w:r>
          </w:p>
        </w:tc>
        <w:tc>
          <w:tcPr>
            <w:tcW w:type="dxa" w:w="144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版本</w:t>
            </w:r>
          </w:p>
        </w:tc>
        <w:tc>
          <w:tcPr>
            <w:tcW w:type="dxa" w:w="432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Burp Suite Pro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2026.7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Web/API 渗透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OWASP ZAP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2.14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自动化扫描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Nmap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7.94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端口扫描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Metasploit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6.3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漏洞利用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sqlmap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1.7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SQL 注入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XSStrike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3.1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XSS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MobSF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4.0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移动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Frida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16.1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动态分析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CodeQL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2.15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静态分析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SonarQube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10.3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代码质量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附录 C:参考标准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OWASP Top 10 2021: https://owasp.org/Top10/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OWASP API Security Top 10 2023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GB/T 22239-2019 信息安全技术 网络安全等级保护基本要求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GB/T 25064 信息安全技术 公钥基础设施 电子签名格式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JR/T 0068-2020 网上银行系统信息安全通用规范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银保监《保险销售行为可回溯管理办法》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  <w:t>PCI DSS 4.0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D90429"/>
          <w:sz w:val="28"/>
          <w:rFonts w:eastAsia="Microsoft YaHei" w:ascii="Microsoft YaHei" w:hAnsi="Microsoft YaHei"/>
        </w:rPr>
        <w:t>附录 D:团队与联系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角色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姓名</w:t>
            </w:r>
          </w:p>
        </w:tc>
        <w:tc>
          <w:tcPr>
            <w:tcW w:type="dxa" w:w="2880"/>
            <w:shd w:fill="2b2d42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  <w:rFonts w:eastAsia="Microsoft YaHei" w:ascii="Microsoft YaHei" w:hAnsi="Microsoft YaHei"/>
              </w:rPr>
              <w:t>签名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渗透测试负责人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安全架构师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链码安全专家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报告审核人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 w:val="0"/>
                <w:sz w:val="19"/>
                <w:rFonts w:eastAsia="Microsoft YaHei" w:ascii="Microsoft YaHei" w:hAnsi="Microsoft YaHei"/>
              </w:rPr>
              <w:t>_________</w:t>
            </w:r>
          </w:p>
        </w:tc>
      </w:tr>
    </w:tbl>
    <w:p>
      <w:pPr>
        <w:spacing w:after="80" w:line="360" w:lineRule="auto"/>
      </w:pPr>
      <w:r>
        <w:rPr>
          <w:rFonts w:ascii="Microsoft YaHei" w:hAnsi="Microsoft YaHei"/>
          <w:b w:val="0"/>
          <w:sz w:val="21"/>
          <w:rFonts w:eastAsia="Microsoft YaHei" w:ascii="Microsoft YaHei" w:hAnsi="Microsoft YaHei"/>
        </w:rPr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安全应急响应邮箱: sec-incident@bank.com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7×24 安全热线: 400-xxx-xxxx</w:t>
      </w:r>
    </w:p>
    <w:p>
      <w:pPr>
        <w:spacing w:after="80" w:line="360" w:lineRule="auto"/>
      </w:pPr>
      <w:r>
        <w:rPr>
          <w:rFonts w:ascii="Microsoft YaHei" w:hAnsi="Microsoft YaHei"/>
          <w:b/>
          <w:sz w:val="21"/>
          <w:rFonts w:eastAsia="Microsoft YaHei" w:ascii="Microsoft YaHei" w:hAnsi="Microsoft YaHei"/>
        </w:rPr>
        <w:t>Mavis: Mavis@bank.com</w:t>
      </w:r>
    </w:p>
    <w:p>
      <w:r>
        <w:br w:type="page"/>
      </w:r>
    </w:p>
    <w:p>
      <w:pPr>
        <w:spacing w:before="1200"/>
        <w:jc w:val="center"/>
      </w:pPr>
      <w:r>
        <w:rPr>
          <w:rFonts w:ascii="Microsoft YaHei" w:hAnsi="Microsoft YaHei"/>
          <w:b w:val="0"/>
          <w:color w:val="8D99AE"/>
          <w:sz w:val="28"/>
          <w:rFonts w:eastAsia="Microsoft YaHei" w:ascii="Microsoft YaHei" w:hAnsi="Microsoft YaHei"/>
        </w:rPr>
        <w:t>— 报告结束 —</w:t>
      </w:r>
    </w:p>
    <w:p>
      <w:pPr>
        <w:spacing w:before="400"/>
        <w:jc w:val="center"/>
      </w:pPr>
      <w:r>
        <w:rPr>
          <w:rFonts w:ascii="Microsoft YaHei" w:hAnsi="Microsoft YaHei"/>
          <w:b/>
          <w:color w:val="D90429"/>
          <w:sz w:val="20"/>
          <w:rFonts w:eastAsia="Microsoft YaHei" w:ascii="Microsoft YaHei" w:hAnsi="Microsoft YaHei"/>
        </w:rPr>
        <w:t>本报告含机密信息,仅限内部使用,严禁外传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