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方向 C 课程项目要求摘录</w:t>
      </w:r>
    </w:p>
    <w:p>
      <w:r>
        <w:rPr>
          <w:b w:val="0"/>
        </w:rPr>
        <w:t>自然语言处理课程  2026—2027 秋季学期</w:t>
      </w:r>
    </w:p>
    <w:p>
      <w:r>
        <w:rPr>
          <w:b w:val="0"/>
        </w:rPr>
        <w:t>已选方向：提示 vs 微调对比。项目须围绕完整的小型 NLP 流水线展开，包含非大模型基线、大模型方案以及两者的对比评估。以下按项目定位、评分标准、交付物及相关报告要求整理。</w:t>
      </w:r>
    </w:p>
    <w:p>
      <w:pPr>
        <w:pStyle w:val="Heading1"/>
      </w:pPr>
      <w:r>
        <w:t>一 项目定位</w:t>
      </w:r>
    </w:p>
    <w:p>
      <w:r>
        <w:rPr>
          <w:b w:val="0"/>
        </w:rPr>
        <w:t>课程：自然语言处理；授课对象：软件工程专业三年级本科生；主讲：郭贵冰。项目共 45 分，占课程总评 45%；2—4 人一组，建议 3—4 人；不设答辩。</w:t>
      </w:r>
    </w:p>
    <w:p>
      <w:pPr>
        <w:pStyle w:val="Heading2"/>
      </w:pPr>
      <w:r>
        <w:t>通用定位</w:t>
      </w:r>
    </w:p>
    <w:p>
      <w:r>
        <w:rPr>
          <w:b w:val="0"/>
        </w:rPr>
        <w:t>用一条完整的小型 NLP 流水线，把课程里学过的方法真正用起来：数据 → 方法 → 评估 → 错误分析。外壳是大模型应用，内核是课程方法。每个项目必须包含：① 一个非大模型基线；② 一个大模型方案；③ 两者的对比评估。</w:t>
      </w:r>
    </w:p>
    <w:p>
      <w:r>
        <w:rPr>
          <w:b w:val="0"/>
        </w:rPr>
        <w:t>评分关注四件事：有没有基线对比、有没有评估数据、有没有把失败讲清楚、别人能不能复现。任务书强调：7B 模型加完整评估与诚实分析，优于使用 70B 模型却只给出一个分数。</w:t>
      </w:r>
    </w:p>
    <w:p>
      <w:pPr>
        <w:pStyle w:val="Heading2"/>
      </w:pPr>
      <w:r>
        <w:t>方向 C 的明确要求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cantSplit/>
          <w:tblHeader/>
        </w:trPr>
        <w:tc>
          <w:tcPr>
            <w:tcW w:type="dxa" w:w="181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条目</w:t>
            </w:r>
          </w:p>
        </w:tc>
        <w:tc>
          <w:tcPr>
            <w:tcW w:type="dxa" w:w="782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网页要求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方向名称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C. 提示 vs 微调对比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大模型方案</w:t>
            </w:r>
          </w:p>
        </w:tc>
        <w:tc>
          <w:tcPr>
            <w:tcW w:type="dxa" w:w="782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零样本 / 少样本提示、LoRA 轻量微调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参考基线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TF-IDF、n-gram 或小模型全参微调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主要覆盖讲次</w:t>
            </w:r>
          </w:p>
        </w:tc>
        <w:tc>
          <w:tcPr>
            <w:tcW w:type="dxa" w:w="782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第 5、7、12、13 讲</w:t>
            </w:r>
          </w:p>
        </w:tc>
      </w:tr>
    </w:tbl>
    <w:p>
      <w:pPr>
        <w:spacing w:after="0"/>
      </w:pPr>
    </w:p>
    <w:p>
      <w:r>
        <w:rPr>
          <w:b w:val="0"/>
        </w:rPr>
        <w:t>选题鼓励结合金融科技或智慧健康；也可自选题目。选题确认时须写清问题定义、成功判据，以及与课程方法的对应关系。</w:t>
      </w:r>
    </w:p>
    <w:p>
      <w:pPr>
        <w:pStyle w:val="Heading2"/>
      </w:pPr>
      <w:r>
        <w:t>课程原理的实验支撑</w:t>
      </w:r>
    </w:p>
    <w:p>
      <w:r>
        <w:rPr>
          <w:b w:val="0"/>
        </w:rPr>
        <w:t>每个项目的报告必须用自己实验的证据解释至少 3 个课程原理点；只复述概念不算，必须有实验或数据支撑。任务书可选原理点完整列于末页。</w:t>
      </w:r>
    </w:p>
    <w:p>
      <w:r>
        <w:br w:type="page"/>
      </w:r>
    </w:p>
    <w:p>
      <w:pPr>
        <w:pStyle w:val="Heading1"/>
      </w:pPr>
      <w:r>
        <w:t>二 评分标准</w:t>
      </w:r>
    </w:p>
    <w:p>
      <w:r>
        <w:rPr>
          <w:b w:val="0"/>
        </w:rPr>
        <w:t>项目总分 45 分，评分表适用于方向 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680"/>
        <w:gridCol w:w="6633"/>
      </w:tblGrid>
      <w:tr>
        <w:trPr>
          <w:cantSplit/>
          <w:tblHeader/>
        </w:trPr>
        <w:tc>
          <w:tcPr>
            <w:tcW w:type="dxa" w:w="232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评分项</w:t>
            </w:r>
          </w:p>
        </w:tc>
        <w:tc>
          <w:tcPr>
            <w:tcW w:type="dxa" w:w="6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分值</w:t>
            </w:r>
          </w:p>
        </w:tc>
        <w:tc>
          <w:tcPr>
            <w:tcW w:type="dxa" w:w="6633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评分要点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选题与方案设计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663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问题定义清楚、成功判据可检验、技术路线有依据、分工到人。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进度与工作量证明</w:t>
            </w:r>
          </w:p>
        </w:tc>
        <w:tc>
          <w:tcPr>
            <w:tcW w:type="dxa" w:w="680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6633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有可核查的推进证据：数据就绪、基线跑通、迭代记录、运行日志 / 截图。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源码与可复现性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663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一键可跑、README 完整、依赖与种子齐全、教师 / AI 复现通过、代码可读。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实验与评估分析</w:t>
            </w:r>
          </w:p>
        </w:tc>
        <w:tc>
          <w:tcPr>
            <w:tcW w:type="dxa" w:w="680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6633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有基线对比、指标口径清楚、≥3 类错误归因、≥1 组参数对比、结论有数据支撑。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报告与演示录屏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63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报告结构规范、图表完整（4 分）；录屏真实可跑通、含难例（2 分）。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个人贡献与工作量核验</w:t>
            </w:r>
          </w:p>
        </w:tc>
        <w:tc>
          <w:tcPr>
            <w:tcW w:type="dxa" w:w="680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6633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每人一份贡献声明，模块、产出证据、工作量自评齐全且相互一致（3 分）；报告第⑧节分工与实际产出对得上（2 分）。</w:t>
            </w:r>
          </w:p>
        </w:tc>
      </w:tr>
    </w:tbl>
    <w:p>
      <w:pPr>
        <w:spacing w:after="0"/>
      </w:pPr>
    </w:p>
    <w:p>
      <w:pPr>
        <w:pStyle w:val="Heading2"/>
      </w:pPr>
      <w:r>
        <w:t>两条硬门槛</w:t>
      </w:r>
    </w:p>
    <w:p>
      <w:r>
        <w:rPr>
          <w:b w:val="0"/>
        </w:rPr>
        <w:t>跑不通＝项目不及格：教师或 AI 按 README 无法复现主结果的，允许 48 小时内补交环境说明或修复；补交后仍无法跑通的，第③项记 0 分，总分不超过 25 分。</w:t>
      </w:r>
    </w:p>
    <w:p>
      <w:r>
        <w:rPr>
          <w:b w:val="0"/>
        </w:rPr>
        <w:t>报告与代码 / 日志对不上：报告中的关键数字在代码、日志或输出文件中找不到出处的，第④项减半；编造实验数据按学术不诚信处理。</w:t>
      </w:r>
    </w:p>
    <w:p>
      <w:pPr>
        <w:pStyle w:val="Heading2"/>
      </w:pPr>
      <w:r>
        <w:t>三个拉开分差的地方</w:t>
      </w:r>
    </w:p>
    <w:p>
      <w:r>
        <w:rPr>
          <w:b w:val="0"/>
        </w:rPr>
        <w:t>① 主动写出失败案例与局限，至少 3 个，逐一归因。</w:t>
        <w:br/>
        <w:t>② 有参数对比实验并给出结论，任务书举例包括 top-k、chunk 大小、LoRA 秩、不同模型。</w:t>
        <w:br/>
        <w:t>③ 能说清成本与延迟，包括 token 花费、响应时间。</w:t>
      </w:r>
    </w:p>
    <w:p>
      <w:pPr>
        <w:pStyle w:val="Heading2"/>
      </w:pPr>
      <w:r>
        <w:t>逾期扣分</w:t>
      </w:r>
    </w:p>
    <w:p>
      <w:r>
        <w:rPr>
          <w:b/>
        </w:rPr>
        <w:t>提交截止：2026-10-30（周五）24:00。以下扣分从项目总分 45 分中扣除。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1984"/>
      </w:tblGrid>
      <w:tr>
        <w:trPr>
          <w:cantSplit/>
          <w:tblHeader/>
        </w:trPr>
        <w:tc>
          <w:tcPr>
            <w:tcW w:type="dxa" w:w="765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网页列示的逾期时长</w:t>
            </w:r>
          </w:p>
        </w:tc>
        <w:tc>
          <w:tcPr>
            <w:tcW w:type="dxa" w:w="198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扣分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&lt;24 小时（10-31 24:00 前）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−1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&lt;48 小时（11-01 24:00 前）</w:t>
            </w:r>
          </w:p>
        </w:tc>
        <w:tc>
          <w:tcPr>
            <w:tcW w:type="dxa" w:w="198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−2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&lt;72 小时（11-02 24:00 前）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−3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≥72 小时</w:t>
            </w:r>
          </w:p>
        </w:tc>
        <w:tc>
          <w:tcPr>
            <w:tcW w:type="dxa" w:w="198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−5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三 交付物与提交规范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5953"/>
        <w:gridCol w:w="1871"/>
      </w:tblGrid>
      <w:tr>
        <w:trPr>
          <w:cantSplit/>
          <w:tblHeader/>
        </w:trPr>
        <w:tc>
          <w:tcPr>
            <w:tcW w:type="dxa" w:w="181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交付物</w:t>
            </w:r>
          </w:p>
        </w:tc>
        <w:tc>
          <w:tcPr>
            <w:tcW w:type="dxa" w:w="5953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内容要求</w:t>
            </w:r>
          </w:p>
        </w:tc>
        <w:tc>
          <w:tcPr>
            <w:tcW w:type="dxa" w:w="1871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提交形式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① 源码与 README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README 须含环境、依赖、一条可执行命令、预期输出、随机种子；同时提交完整代码。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同一个 zip 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② 项目报告</w:t>
            </w:r>
          </w:p>
        </w:tc>
        <w:tc>
          <w:tcPr>
            <w:tcW w:type="dxa" w:w="5953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按八节结构撰写，正文 8—12 页，不含附录；格式为 PDF。</w:t>
            </w:r>
          </w:p>
        </w:tc>
        <w:tc>
          <w:tcPr>
            <w:tcW w:type="dxa" w:w="1871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同一个 zip 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③ 演示录屏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≤2 分钟；真实跑一遍系统，至少展示一个难例；画面中可见本人学号与姓名。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填网盘链接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④ 个人贡献声明</w:t>
            </w:r>
          </w:p>
        </w:tc>
        <w:tc>
          <w:tcPr>
            <w:tcW w:type="dxa" w:w="5953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每人单独一份；写清负责模块、产出证据、工作量自评、对队友的确认；模板见附件。</w:t>
            </w:r>
          </w:p>
        </w:tc>
        <w:tc>
          <w:tcPr>
            <w:tcW w:type="dxa" w:w="1871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同一个 zip 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⑤ AI 使用声明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工具名、使用环节、如何验证 AI 输出；可写在报告附录。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包含在报告内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⑥ 项目摘要</w:t>
            </w:r>
          </w:p>
        </w:tc>
        <w:tc>
          <w:tcPr>
            <w:tcW w:type="dxa" w:w="5953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300 字以内；包含问题、方法、主要结果（给出具体数字）、结论；不含图表。</w:t>
            </w:r>
          </w:p>
        </w:tc>
        <w:tc>
          <w:tcPr>
            <w:tcW w:type="dxa" w:w="1871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同一个 zip 包；文件名为 项目摘要.md</w:t>
            </w:r>
          </w:p>
        </w:tc>
      </w:tr>
    </w:tbl>
    <w:p>
      <w:pPr>
        <w:spacing w:after="0"/>
      </w:pPr>
    </w:p>
    <w:p>
      <w:pPr>
        <w:pStyle w:val="Heading2"/>
      </w:pPr>
      <w:r>
        <w:t>压缩包规范</w:t>
      </w:r>
    </w:p>
    <w:p>
      <w:r>
        <w:rPr>
          <w:b w:val="0"/>
        </w:rPr>
        <w:t>格式与数量：仅限 zip，只交 1 个压缩包。不收 rar、7z、分卷压缩，不要把材料拆成多个包。</w:t>
      </w:r>
    </w:p>
    <w:p>
      <w:r>
        <w:rPr>
          <w:b w:val="0"/>
        </w:rPr>
        <w:t>体积与外链：单个文件 ≤50 MB；模型权重、录屏、数据集一律不进包，只给链接。</w:t>
      </w:r>
    </w:p>
    <w:p>
      <w:r>
        <w:rPr>
          <w:b w:val="0"/>
        </w:rPr>
        <w:t>命名：组长学号_姓名_项目名.zip。网页示例：20246130_张三_公告要素抽取.zip。</w:t>
      </w:r>
    </w:p>
    <w:p>
      <w:r>
        <w:rPr>
          <w:b w:val="0"/>
        </w:rPr>
        <w:t>包内结构建议：报告.pdf、项目摘要.md、README.md、src/（全部源码）、贡献声明_学号_姓名.md（每人一份）。</w:t>
      </w:r>
    </w:p>
    <w:p>
      <w:r>
        <w:rPr>
          <w:b w:val="0"/>
        </w:rPr>
        <w:t>严禁打进包：虚拟环境、checkpoint、API Key、个人隐私数据。</w:t>
      </w:r>
    </w:p>
    <w:p>
      <w:pPr>
        <w:pStyle w:val="Heading2"/>
      </w:pPr>
      <w:r>
        <w:t>提交渠道与截止时间</w:t>
      </w:r>
    </w:p>
    <w:p>
      <w:r>
        <w:rPr>
          <w:b w:val="0"/>
        </w:rPr>
        <w:t>金山文档收集表：https://f.kdocs.cn/g/5htZQGSM</w:t>
      </w:r>
    </w:p>
    <w:p>
      <w:r>
        <w:rPr>
          <w:b w:val="0"/>
        </w:rPr>
        <w:t>截止：2026-10-30（周五）24:00。截止前可修改，以最后一次提交为准。</w:t>
      </w:r>
    </w:p>
    <w:p>
      <w:pPr>
        <w:pStyle w:val="Heading2"/>
      </w:pPr>
      <w:r>
        <w:t>任务书提供的附件</w:t>
      </w:r>
    </w:p>
    <w:p>
      <w:r>
        <w:rPr>
          <w:b w:val="0"/>
        </w:rPr>
        <w:t>项目报告模板_20261013_codex.md：八节结构的写作骨架，可直接复制填写。</w:t>
        <w:br/>
        <w:t>贡献声明表_20261013_codex.md：每人单独填写一份。</w:t>
        <w:br/>
        <w:t>两项附件位于原网页同目录。</w:t>
      </w:r>
    </w:p>
    <w:p>
      <w:r>
        <w:br w:type="page"/>
      </w:r>
    </w:p>
    <w:p>
      <w:pPr>
        <w:pStyle w:val="Heading1"/>
      </w:pPr>
      <w:r>
        <w:t>四 报告结构与图表要求</w:t>
      </w:r>
    </w:p>
    <w:p>
      <w:r>
        <w:rPr>
          <w:b w:val="0"/>
        </w:rPr>
        <w:t>项目报告正文 8—12 页，不含附录；以下为任务书各节建议篇幅。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669"/>
        <w:gridCol w:w="1417"/>
      </w:tblGrid>
      <w:tr>
        <w:trPr>
          <w:cantSplit/>
          <w:tblHeader/>
        </w:trPr>
        <w:tc>
          <w:tcPr>
            <w:tcW w:type="dxa" w:w="2551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章节</w:t>
            </w:r>
          </w:p>
        </w:tc>
        <w:tc>
          <w:tcPr>
            <w:tcW w:type="dxa" w:w="5669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内容要点</w:t>
            </w:r>
          </w:p>
        </w:tc>
        <w:tc>
          <w:tcPr>
            <w:tcW w:type="dxa" w:w="1417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建议篇幅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① 问题定义与背景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解决什么问题、给谁用、成功判据是什么、为什么值得做。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0.5—1 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② 相关工作与方案选型</w:t>
            </w:r>
          </w:p>
        </w:tc>
        <w:tc>
          <w:tcPr>
            <w:tcW w:type="dxa" w:w="5669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对比哪些替代方案、为什么选择该方案；须回应“为什么不用微调 / 为什么不用 RAG”这类问题。</w:t>
            </w:r>
          </w:p>
        </w:tc>
        <w:tc>
          <w:tcPr>
            <w:tcW w:type="dxa" w:w="1417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1—1.5 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③ 系统设计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架构图（必配）、模块划分、数据流。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1—1.5 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④ 实现细节</w:t>
            </w:r>
          </w:p>
        </w:tc>
        <w:tc>
          <w:tcPr>
            <w:tcW w:type="dxa" w:w="5669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关键技术点、踩过的坑与解法；这部分最能体现工作量。</w:t>
            </w:r>
          </w:p>
        </w:tc>
        <w:tc>
          <w:tcPr>
            <w:tcW w:type="dxa" w:w="1417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2—3 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⑤ 评估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测试集来源与规模、指标定义、结果表、与基线对比、参数对比实验。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2—3 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⑥ 错误分析与局限</w:t>
            </w:r>
          </w:p>
        </w:tc>
        <w:tc>
          <w:tcPr>
            <w:tcW w:type="dxa" w:w="5669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失败样例 ≥3 个，逐一归因，如数据噪声、过拟合、指令歧义、检索失败等。</w:t>
            </w:r>
          </w:p>
        </w:tc>
        <w:tc>
          <w:tcPr>
            <w:tcW w:type="dxa" w:w="1417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1—2 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⑦ 工程与伦理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成本、延迟、权限与隐私、数据许可、AI 使用声明。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0.5—1 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⑧ 分工与贡献</w:t>
            </w:r>
          </w:p>
        </w:tc>
        <w:tc>
          <w:tcPr>
            <w:tcW w:type="dxa" w:w="5669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每人负责的模块与产出证据，与个人贡献声明一致。</w:t>
            </w:r>
          </w:p>
        </w:tc>
        <w:tc>
          <w:tcPr>
            <w:tcW w:type="dxa" w:w="1417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0.5 页</w:t>
            </w:r>
          </w:p>
        </w:tc>
      </w:tr>
    </w:tbl>
    <w:p>
      <w:pPr>
        <w:spacing w:after="0"/>
      </w:pPr>
    </w:p>
    <w:p>
      <w:r>
        <w:rPr>
          <w:b w:val="0"/>
        </w:rPr>
        <w:t>图表要求：坐标轴、单位、图例齐全；loss / 指标曲线必须来自真实运行日志。</w:t>
      </w:r>
    </w:p>
    <w:p>
      <w:pPr>
        <w:pStyle w:val="Heading2"/>
      </w:pPr>
      <w:r>
        <w:t>数据与工具的相关要求</w:t>
      </w:r>
    </w:p>
    <w:p>
      <w:r>
        <w:rPr>
          <w:b w:val="0"/>
        </w:rPr>
        <w:t>数据优先使用公开数据，报告须写明来源、规模、许可与清洗规则。网页参考数据包括 THUCNews、ChnSentiCorp、MSRA、人民日报、CLUENER2020、CMRC2018、CBLUE 类基准任务和 SQuAD；使用前须自行确认许可与下载可用性。金融方向可从公开披露渠道构造数据。</w:t>
      </w:r>
    </w:p>
    <w:p>
      <w:r>
        <w:rPr>
          <w:b w:val="0"/>
        </w:rPr>
        <w:t>允许调用外部 API，费用自负；报告写明所用模型、调用量、单价与总花费估算。API Key 使用环境变量，不得写进代码或提交仓库，提交前自查。不得将隐私或未授权个人数据上传外部服务；医学、金融数据必须脱敏。</w:t>
      </w:r>
    </w:p>
    <w:p>
      <w:r>
        <w:rPr>
          <w:b w:val="0"/>
        </w:rPr>
        <w:t>允许本地小模型 / CPU 方案。预算或算力受限可缩小数据规模，在报告中说明降级原因与影响，不因此扣分。</w:t>
      </w:r>
    </w:p>
    <w:p>
      <w:pPr>
        <w:pStyle w:val="Heading2"/>
      </w:pPr>
      <w:r>
        <w:t>AI 使用与贡献声明</w:t>
      </w:r>
    </w:p>
    <w:p>
      <w:r>
        <w:rPr>
          <w:b w:val="0"/>
        </w:rPr>
        <w:t>鼓励用 AI 查文档、调试代码、生成样板、润色文字、做对比实验、互查错误。禁止用 AI 代写实验设计与结果分析，禁止编造数据、伪造日志或截图、抄袭代码与报告，以及将 API Key、隐私数据交给外部服务或写入提交物。</w:t>
      </w:r>
    </w:p>
    <w:p>
      <w:r>
        <w:rPr>
          <w:b w:val="0"/>
        </w:rPr>
        <w:t>报告必须声明 AI 的使用范围与人工修改部分。每人的贡献声明须写明负责模块与对应产出证据，与报告第⑧节一致；贡献声明相互矛盾且无法解释的，第⑥评分项相应扣分。</w:t>
      </w:r>
    </w:p>
    <w:p>
      <w:r>
        <w:br w:type="page"/>
      </w:r>
    </w:p>
    <w:p>
      <w:pPr>
        <w:pStyle w:val="Heading1"/>
      </w:pPr>
      <w:r>
        <w:t>五 可选课程原理点与来源</w:t>
      </w:r>
    </w:p>
    <w:p>
      <w:r>
        <w:rPr>
          <w:b w:val="0"/>
        </w:rPr>
        <w:t>报告须从以下原理点中至少解释 3 个，每个均须结合本组真实实验或数据。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1984"/>
      </w:tblGrid>
      <w:tr>
        <w:trPr>
          <w:cantSplit/>
          <w:tblHeader/>
        </w:trPr>
        <w:tc>
          <w:tcPr>
            <w:tcW w:type="dxa" w:w="765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课程原理点</w:t>
            </w:r>
          </w:p>
        </w:tc>
        <w:tc>
          <w:tcPr>
            <w:tcW w:type="dxa" w:w="198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讲次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分词 / 子词与词表选择对检索或抽取效果的影响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第 2 讲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词向量与句向量的表示能力差异</w:t>
            </w:r>
          </w:p>
        </w:tc>
        <w:tc>
          <w:tcPr>
            <w:tcW w:type="dxa" w:w="198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第 5 讲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N-gram 与神经网络语言模型的取舍、困惑度（PPL）与生成质量的关系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第 7—8 讲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序列标注的标签约束与实体级评测口径</w:t>
            </w:r>
          </w:p>
        </w:tc>
        <w:tc>
          <w:tcPr>
            <w:tcW w:type="dxa" w:w="198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第 9 讲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注意力机制为什么能缓解信息瓶颈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第 10 讲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Transformer 的位置编码、缩放点积与复杂度取舍</w:t>
            </w:r>
          </w:p>
        </w:tc>
        <w:tc>
          <w:tcPr>
            <w:tcW w:type="dxa" w:w="198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第 11 讲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预训练目标（AR 与 MLM）对下游任务的影响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第 12 讲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SFT / LoRA / 提示的本质差别与适用边界</w:t>
            </w:r>
          </w:p>
        </w:tc>
        <w:tc>
          <w:tcPr>
            <w:tcW w:type="dxa" w:w="198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第 13—14 讲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RAG 的“召回是上限”、重排与引用校验的作用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第 15 讲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评测指标与评测协议的选择依据</w:t>
            </w:r>
          </w:p>
        </w:tc>
        <w:tc>
          <w:tcPr>
            <w:tcW w:type="dxa" w:w="198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第 14—15 讲</w:t>
            </w:r>
          </w:p>
        </w:tc>
      </w:tr>
    </w:tbl>
    <w:p>
      <w:pPr>
        <w:spacing w:after="0"/>
      </w:pPr>
    </w:p>
    <w:p>
      <w:pPr>
        <w:pStyle w:val="Heading2"/>
      </w:pPr>
      <w:r>
        <w:t>网页来源</w:t>
      </w:r>
    </w:p>
    <w:p>
      <w:r>
        <w:rPr>
          <w:b w:val="0"/>
        </w:rPr>
        <w:t>《自然语言处理》课程项目任务书；网页标示公布日期：2026-10-16（第 2 次随堂测验当天）。提取日期：2026-10-18。</w:t>
      </w:r>
    </w:p>
    <w:p>
      <w:r>
        <w:t>原始任务书：</w:t>
      </w:r>
      <w:hyperlink r:id="rId9">
        <w:r>
          <w:t>打开课程项目任务书网页</w:t>
        </w:r>
      </w:hyperlink>
    </w:p>
    <w:sectPr w:rsidR="00FC693F" w:rsidRPr="0006063C" w:rsidSect="00034616"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6ccfkuh9.qwenwork.host/course-project/&#35838;&#31243;&#39033;&#30446;&#20219;&#21153;&#20070;_20261013_co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方向 C 课程项目要求摘录</dc:title>
  <dc:subject>项目定位、评分标准、交付物与报告要求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