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E49D3">
      <w:pPr>
        <w:spacing w:after="400"/>
        <w:jc w:val="center"/>
      </w:pPr>
      <w:r>
        <w:rPr>
          <w:rFonts w:ascii="黑体" w:hAnsi="黑体" w:eastAsia="黑体"/>
          <w:b/>
          <w:sz w:val="44"/>
        </w:rPr>
        <w:t>智慧燃气CRM管理系统使用说明书</w:t>
      </w:r>
    </w:p>
    <w:p w14:paraId="132A2A7C">
      <w:pPr>
        <w:spacing w:before="360" w:after="200"/>
      </w:pPr>
      <w:r>
        <w:rPr>
          <w:rFonts w:ascii="黑体" w:hAnsi="黑体" w:eastAsia="黑体"/>
          <w:b/>
          <w:sz w:val="32"/>
        </w:rPr>
        <w:t>一、系统概述</w:t>
      </w:r>
    </w:p>
    <w:p w14:paraId="0B53124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智慧燃气CRM管理系统是一套面向燃气行业的SaaS多租户管理平台，旨在帮助企业高效管理客户信息、合同履约、报修运维、报表填报等核心业务。系统采用多租户数据隔离架构，支持三层账户体系，确保不同租户间的数据安全与权限隔离。</w:t>
      </w:r>
    </w:p>
    <w:p w14:paraId="6E75DD7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三层账户体系：</w:t>
      </w:r>
    </w:p>
    <w:p w14:paraId="6255A100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超级管理员（tenant_id=0）—&gt;创建租户+租户管理员—&gt;租户管理员创建本租户员工—&gt;员工操作业务数据</w:t>
      </w:r>
    </w:p>
    <w:p w14:paraId="70287BFF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（注：超级管理员拥有全部权限，可管理所有租户，不受数据隔离限制；租户管理员管理本租户内的角色、员工和业务数据；普通员工根据分配的角色权限操作业务数据。）</w:t>
      </w:r>
    </w:p>
    <w:p w14:paraId="59B0203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默认账户：用户名admin，密码123456，角色为超级管理员。</w:t>
      </w:r>
    </w:p>
    <w:p w14:paraId="5091DE86">
      <w:pPr>
        <w:spacing w:before="360" w:after="200"/>
      </w:pPr>
      <w:r>
        <w:rPr>
          <w:rFonts w:ascii="黑体" w:hAnsi="黑体" w:eastAsia="黑体"/>
          <w:b/>
          <w:sz w:val="32"/>
        </w:rPr>
        <w:t>二、登录系统</w:t>
      </w:r>
    </w:p>
    <w:p w14:paraId="207D35B3">
      <w:pPr>
        <w:spacing w:before="240" w:after="160"/>
      </w:pPr>
      <w:r>
        <w:rPr>
          <w:rFonts w:ascii="黑体" w:hAnsi="黑体" w:eastAsia="黑体"/>
          <w:b/>
          <w:sz w:val="28"/>
        </w:rPr>
        <w:t>1、登录页面</w:t>
      </w:r>
    </w:p>
    <w:p w14:paraId="525841B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打开浏览器—&gt;访问系统地址—&gt;进入登录页面。登录页面包含公司Logo、系统名称、用户名输入框、密码输入框和登录按钮。</w:t>
      </w:r>
    </w:p>
    <w:p w14:paraId="0E2F7E5F">
      <w:pPr>
        <w:spacing w:before="80" w:after="160"/>
        <w:jc w:val="center"/>
      </w:pPr>
      <w:r>
        <w:drawing>
          <wp:inline distT="0" distB="0" distL="114300" distR="114300">
            <wp:extent cx="5485130" cy="3106420"/>
            <wp:effectExtent l="0" t="0" r="127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 登录页面</w:t>
      </w:r>
    </w:p>
    <w:p w14:paraId="0419BE0C">
      <w:pPr>
        <w:spacing w:before="240" w:after="160"/>
      </w:pPr>
      <w:r>
        <w:rPr>
          <w:rFonts w:ascii="黑体" w:hAnsi="黑体" w:eastAsia="黑体"/>
          <w:b/>
          <w:sz w:val="28"/>
        </w:rPr>
        <w:t>2、登录步骤</w:t>
      </w:r>
    </w:p>
    <w:p w14:paraId="359F669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在"用户名"输入框中输入账号—&gt;在"密码"输入框中输入密码—&gt;点击"登录"按钮或按回车键—&gt;登录成功后系统自动跳转至首页。</w:t>
      </w:r>
    </w:p>
    <w:p w14:paraId="355B5491">
      <w:pPr>
        <w:spacing w:before="240" w:after="160"/>
      </w:pPr>
      <w:r>
        <w:rPr>
          <w:rFonts w:ascii="黑体" w:hAnsi="黑体" w:eastAsia="黑体"/>
          <w:b/>
          <w:sz w:val="28"/>
        </w:rPr>
        <w:t>3、登录提醒</w:t>
      </w:r>
    </w:p>
    <w:p w14:paraId="552E754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登录后，系统会自动检测是否有待办提醒（如合同到期提醒、报修待处理等），如有则弹出提醒弹窗。</w:t>
      </w:r>
    </w:p>
    <w:p w14:paraId="58326C3A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（注：请及时处理登录提醒中的待办事项，避免遗漏重要工作。）</w:t>
      </w:r>
    </w:p>
    <w:p w14:paraId="71679800">
      <w:pPr>
        <w:spacing w:before="80" w:after="160"/>
        <w:jc w:val="center"/>
      </w:pPr>
      <w:r>
        <w:drawing>
          <wp:inline distT="0" distB="0" distL="114300" distR="114300">
            <wp:extent cx="5486400" cy="284035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 登录提醒弹窗</w:t>
      </w:r>
    </w:p>
    <w:p w14:paraId="49B26E8B">
      <w:pPr>
        <w:spacing w:before="360" w:after="200"/>
      </w:pPr>
      <w:r>
        <w:rPr>
          <w:rFonts w:ascii="黑体" w:hAnsi="黑体" w:eastAsia="黑体"/>
          <w:b/>
          <w:sz w:val="32"/>
        </w:rPr>
        <w:t>三、系统首页</w:t>
      </w:r>
    </w:p>
    <w:p w14:paraId="111FE8A7">
      <w:pPr>
        <w:spacing w:before="240" w:after="160"/>
      </w:pPr>
      <w:r>
        <w:rPr>
          <w:rFonts w:ascii="黑体" w:hAnsi="黑体" w:eastAsia="黑体"/>
          <w:b/>
          <w:sz w:val="28"/>
        </w:rPr>
        <w:t>1、首页概览</w:t>
      </w:r>
    </w:p>
    <w:p w14:paraId="5CCB7030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登录成功后进入系统首页，首页展示以下内容：欢迎卡片（显示系统名称和标语）、用户信息卡片（显示当前登录用户、所属租户、当前角色）、系统功能介绍（客户管理、合同管理、报修管理、跟进记录）、快速入口（一键跳转至客户列表、合同管理、报修管理、统计分析）。</w:t>
      </w:r>
    </w:p>
    <w:p w14:paraId="18D4D343">
      <w:pPr>
        <w:spacing w:before="80" w:after="160"/>
        <w:jc w:val="center"/>
      </w:pPr>
      <w:r>
        <w:drawing>
          <wp:inline distT="0" distB="0" distL="114300" distR="114300">
            <wp:extent cx="5474335" cy="2267585"/>
            <wp:effectExtent l="0" t="0" r="12065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 系统首页</w:t>
      </w:r>
    </w:p>
    <w:p w14:paraId="6A015427">
      <w:pPr>
        <w:spacing w:before="240" w:after="160"/>
      </w:pPr>
      <w:r>
        <w:rPr>
          <w:rFonts w:ascii="黑体" w:hAnsi="黑体" w:eastAsia="黑体"/>
          <w:b/>
          <w:sz w:val="28"/>
        </w:rPr>
        <w:t>2、侧边栏导航</w:t>
      </w:r>
    </w:p>
    <w:p w14:paraId="1E492133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系统左侧为可折叠的导航菜单，菜单项根据当前用户权限动态显示。点击导航栏相应的功能按钮，可以进入对应的管理页面。</w:t>
      </w:r>
    </w:p>
    <w:p w14:paraId="4C48C28D">
      <w:pPr>
        <w:spacing w:before="80" w:after="160"/>
        <w:jc w:val="center"/>
      </w:pPr>
      <w:r>
        <w:drawing>
          <wp:inline distT="0" distB="0" distL="114300" distR="114300">
            <wp:extent cx="2143125" cy="6219825"/>
            <wp:effectExtent l="0" t="0" r="571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C674A">
      <w:pPr>
        <w:spacing w:before="80" w:after="160"/>
        <w:jc w:val="center"/>
      </w:pPr>
      <w:r>
        <w:rPr>
          <w:rFonts w:ascii="宋体" w:hAnsi="宋体" w:eastAsia="宋体"/>
          <w:sz w:val="21"/>
        </w:rPr>
        <w:t>图4 侧边栏导航菜单</w:t>
      </w:r>
    </w:p>
    <w:p w14:paraId="0D4EC076">
      <w:pPr>
        <w:spacing w:before="240" w:after="160"/>
      </w:pPr>
      <w:r>
        <w:rPr>
          <w:rFonts w:ascii="黑体" w:hAnsi="黑体" w:eastAsia="黑体"/>
          <w:b/>
          <w:sz w:val="28"/>
        </w:rPr>
        <w:t>3、顶部导航栏</w:t>
      </w:r>
    </w:p>
    <w:p w14:paraId="241D7FFB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顶部导航栏显示当前页面标题，右侧显示当前用户姓名和所属租户信息，点击用户名可退出登录。</w:t>
      </w:r>
    </w:p>
    <w:p w14:paraId="255911E9">
      <w:pPr>
        <w:spacing w:before="360" w:after="200"/>
      </w:pPr>
      <w:r>
        <w:rPr>
          <w:rFonts w:ascii="黑体" w:hAnsi="黑体" w:eastAsia="黑体"/>
          <w:b/>
          <w:sz w:val="32"/>
        </w:rPr>
        <w:t>四、租户管理</w:t>
      </w:r>
    </w:p>
    <w:p w14:paraId="401AFDD6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（注：适用角色：超级管理员）</w:t>
      </w:r>
    </w:p>
    <w:p w14:paraId="21D866E0">
      <w:pPr>
        <w:spacing w:before="240" w:after="160"/>
      </w:pPr>
      <w:r>
        <w:rPr>
          <w:rFonts w:ascii="黑体" w:hAnsi="黑体" w:eastAsia="黑体"/>
          <w:b/>
          <w:sz w:val="28"/>
        </w:rPr>
        <w:t>1、租户列表</w:t>
      </w:r>
    </w:p>
    <w:p w14:paraId="03374957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点击左侧导航栏—&gt;点击租户管理—&gt;进入租户管理页面，可查看所有租户列表。列表包含租户名称、租户编码、管理员账号、状态、创建时间等信息。</w:t>
      </w:r>
    </w:p>
    <w:p w14:paraId="59CC87D7">
      <w:pPr>
        <w:spacing w:before="120" w:after="40"/>
        <w:jc w:val="center"/>
      </w:pPr>
      <w:r>
        <w:drawing>
          <wp:inline distT="0" distB="0" distL="114300" distR="114300">
            <wp:extent cx="5481955" cy="1592580"/>
            <wp:effectExtent l="0" t="0" r="444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5793E">
      <w:pPr>
        <w:spacing w:before="80" w:after="160"/>
        <w:jc w:val="center"/>
      </w:pPr>
      <w:r>
        <w:rPr>
          <w:rFonts w:ascii="宋体" w:hAnsi="宋体" w:eastAsia="宋体"/>
          <w:sz w:val="21"/>
        </w:rPr>
        <w:t>图5 租户管理列表页</w:t>
      </w:r>
    </w:p>
    <w:p w14:paraId="098EF003">
      <w:pPr>
        <w:spacing w:before="240" w:after="160"/>
      </w:pPr>
      <w:r>
        <w:rPr>
          <w:rFonts w:ascii="黑体" w:hAnsi="黑体" w:eastAsia="黑体"/>
          <w:b/>
          <w:sz w:val="28"/>
        </w:rPr>
        <w:t>2、搜索租户</w:t>
      </w:r>
    </w:p>
    <w:p w14:paraId="02BB3919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在搜索栏中输入租户名称或租户编码—&gt;点击"查询"按钮执行搜索—&gt;点击"重置"按钮清空搜索条件。</w:t>
      </w:r>
    </w:p>
    <w:p w14:paraId="1BD088F5">
      <w:pPr>
        <w:spacing w:before="240" w:after="160"/>
      </w:pPr>
      <w:r>
        <w:rPr>
          <w:rFonts w:ascii="黑体" w:hAnsi="黑体" w:eastAsia="黑体"/>
          <w:b/>
          <w:sz w:val="28"/>
        </w:rPr>
        <w:t>3、创建租户</w:t>
      </w:r>
    </w:p>
    <w:p w14:paraId="65FE986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页面右上角"创建租户"按钮—&gt;在弹窗中填写租户名称（必填，如"XX科技有限公司"）、租户编码（必填，如"xxtech"）、管理员用户名（选填，留空则自动生成）、管理员密码（选填，留空则自动生成6位随机密码）—&gt;点击"确认创建"按钮—&gt;创建成功后弹窗显示管理员账号和密码，请妥善保管。</w:t>
      </w:r>
    </w:p>
    <w:p w14:paraId="7EB20EA4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（注：创建租户后请务必记录管理员账号和密码，该信息仅显示一次。）</w:t>
      </w:r>
    </w:p>
    <w:p w14:paraId="0552C67B">
      <w:pPr>
        <w:spacing w:before="80" w:after="160"/>
        <w:jc w:val="center"/>
      </w:pPr>
      <w:r>
        <w:drawing>
          <wp:inline distT="0" distB="0" distL="114300" distR="114300">
            <wp:extent cx="5482590" cy="3184525"/>
            <wp:effectExtent l="0" t="0" r="381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图6 创建租户弹窗</w:t>
      </w:r>
    </w:p>
    <w:p w14:paraId="1FC6AC84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1955" cy="2566035"/>
            <wp:effectExtent l="0" t="0" r="4445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C2E99">
      <w:pPr>
        <w:spacing w:before="80" w:after="160"/>
        <w:jc w:val="center"/>
      </w:pPr>
      <w:r>
        <w:rPr>
          <w:rFonts w:ascii="宋体" w:hAnsi="宋体" w:eastAsia="宋体"/>
          <w:sz w:val="21"/>
        </w:rPr>
        <w:t>图7 租户创建成功结果</w:t>
      </w:r>
    </w:p>
    <w:p w14:paraId="529552C8">
      <w:pPr>
        <w:spacing w:before="240" w:after="160"/>
      </w:pPr>
      <w:r>
        <w:rPr>
          <w:rFonts w:ascii="黑体" w:hAnsi="黑体" w:eastAsia="黑体"/>
          <w:b/>
          <w:sz w:val="28"/>
        </w:rPr>
        <w:t>4、启用/禁用租户</w:t>
      </w:r>
    </w:p>
    <w:p w14:paraId="79C40249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在租户列表的操作列中—&gt;点击"禁用"或"启用"按钮—&gt;可切换租户状态。</w:t>
      </w:r>
    </w:p>
    <w:p w14:paraId="6C3C805B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（注：禁用租户后，该租户下的所有用户将无法登录系统。）</w:t>
      </w:r>
    </w:p>
    <w:p w14:paraId="7A638AAE">
      <w:pPr>
        <w:spacing w:before="360" w:after="200"/>
      </w:pPr>
      <w:r>
        <w:rPr>
          <w:rFonts w:ascii="黑体" w:hAnsi="黑体" w:eastAsia="黑体"/>
          <w:b/>
          <w:sz w:val="32"/>
        </w:rPr>
        <w:t>五、角色管理</w:t>
      </w:r>
    </w:p>
    <w:p w14:paraId="59743220">
      <w:pPr>
        <w:spacing w:before="240" w:after="160"/>
      </w:pPr>
      <w:r>
        <w:rPr>
          <w:rFonts w:ascii="黑体" w:hAnsi="黑体" w:eastAsia="黑体"/>
          <w:b/>
          <w:sz w:val="28"/>
        </w:rPr>
        <w:t>1、角色列表</w:t>
      </w:r>
    </w:p>
    <w:p w14:paraId="653F679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点击左侧导航栏—&gt;点击角色管理—&gt;进入角色管理页面，可查看角色列表及统计信息。统计卡片显示角色总数、平台角色、租户角色、关联用户数。</w:t>
      </w:r>
    </w:p>
    <w:p w14:paraId="232C66C1">
      <w:pPr>
        <w:spacing w:before="80" w:after="160"/>
        <w:jc w:val="center"/>
      </w:pPr>
      <w:r>
        <w:drawing>
          <wp:inline distT="0" distB="0" distL="114300" distR="114300">
            <wp:extent cx="5474970" cy="2189480"/>
            <wp:effectExtent l="0" t="0" r="1143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497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图8 角色管理列表页</w:t>
      </w:r>
    </w:p>
    <w:p w14:paraId="2B18333D">
      <w:pPr>
        <w:spacing w:before="240" w:after="160"/>
      </w:pPr>
      <w:r>
        <w:rPr>
          <w:rFonts w:ascii="黑体" w:hAnsi="黑体" w:eastAsia="黑体"/>
          <w:b/>
          <w:sz w:val="28"/>
        </w:rPr>
        <w:t>2、新增角色</w:t>
      </w:r>
    </w:p>
    <w:p w14:paraId="7C16537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点击页面右上角"新增角色"按钮—&gt;在弹窗中填写角色名称（必填，2-20个字符）、角色描述（选填）—&gt;在权限树中勾选需要分配的菜单和按钮权限—&gt;点击"确认创建"按钮完成角色添加。</w:t>
      </w:r>
    </w:p>
    <w:p w14:paraId="69D77D8B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（注：权限树支持全选、清空、展开/收起操作，方便快速配置权限。）</w:t>
      </w:r>
    </w:p>
    <w:p w14:paraId="41BDD780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2590" cy="6307455"/>
            <wp:effectExtent l="0" t="0" r="3810" b="19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630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0FB03">
      <w:pPr>
        <w:spacing w:before="80" w:after="160"/>
        <w:jc w:val="center"/>
      </w:pPr>
      <w:r>
        <w:rPr>
          <w:rFonts w:ascii="宋体" w:hAnsi="宋体" w:eastAsia="宋体"/>
          <w:sz w:val="21"/>
        </w:rPr>
        <w:t>图9 新增角色弹窗</w:t>
      </w:r>
    </w:p>
    <w:p w14:paraId="4C5933AB">
      <w:pPr>
        <w:spacing w:before="240" w:after="160"/>
      </w:pPr>
      <w:r>
        <w:rPr>
          <w:rFonts w:ascii="黑体" w:hAnsi="黑体" w:eastAsia="黑体"/>
          <w:b/>
          <w:sz w:val="28"/>
        </w:rPr>
        <w:t>3、编辑角色</w:t>
      </w:r>
    </w:p>
    <w:p w14:paraId="2FA9937F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在角色列表中—&gt;点击"编辑"按钮—&gt;修改角色名称、描述或权限分配—&gt;点击"确认修改"按钮。</w:t>
      </w:r>
    </w:p>
    <w:p w14:paraId="1D5DABDD">
      <w:pPr>
        <w:spacing w:before="240" w:after="160"/>
      </w:pPr>
      <w:r>
        <w:rPr>
          <w:rFonts w:ascii="黑体" w:hAnsi="黑体" w:eastAsia="黑体"/>
          <w:b/>
          <w:sz w:val="28"/>
        </w:rPr>
        <w:t>4、复制角色</w:t>
      </w:r>
    </w:p>
    <w:p w14:paraId="1679B9C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在角色列表中—&gt;点击"复制"按钮—&gt;系统自动复制原角色的权限配置—&gt;输入新的角色名称—&gt;可调整权限后点击"确认创建"。</w:t>
      </w:r>
    </w:p>
    <w:p w14:paraId="60EF5D19">
      <w:pPr>
        <w:spacing w:before="240" w:after="160"/>
      </w:pPr>
      <w:r>
        <w:rPr>
          <w:rFonts w:ascii="黑体" w:hAnsi="黑体" w:eastAsia="黑体"/>
          <w:b/>
          <w:sz w:val="28"/>
        </w:rPr>
        <w:t>5、删除角色</w:t>
      </w:r>
    </w:p>
    <w:p w14:paraId="0DD02A3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在角色列表中—&gt;点击"删除"按钮—&gt;系统提示确认删除（如有关联用户会显示用户数量）—&gt;确认后删除角色。</w:t>
      </w:r>
    </w:p>
    <w:p w14:paraId="16CFF1D0">
      <w:pPr>
        <w:spacing w:before="240" w:after="160"/>
      </w:pPr>
      <w:r>
        <w:rPr>
          <w:rFonts w:ascii="黑体" w:hAnsi="黑体" w:eastAsia="黑体"/>
          <w:b/>
          <w:sz w:val="28"/>
        </w:rPr>
        <w:t>6、查看角色详情</w:t>
      </w:r>
    </w:p>
    <w:p w14:paraId="75EF6E98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点击角色列表中的任意行—&gt;可查看角色详情，包括角色名称、类型（平台/租户）、关联用户数、权限数量、创建时间和更新时间、已分配权限列表。</w:t>
      </w:r>
    </w:p>
    <w:p w14:paraId="4F1A6099">
      <w:pPr>
        <w:spacing w:before="80" w:after="160"/>
        <w:jc w:val="center"/>
      </w:pPr>
      <w:r>
        <w:drawing>
          <wp:inline distT="0" distB="0" distL="114300" distR="114300">
            <wp:extent cx="5480685" cy="3840480"/>
            <wp:effectExtent l="0" t="0" r="571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图10 角色详情弹窗</w:t>
      </w:r>
    </w:p>
    <w:p w14:paraId="58BAF774">
      <w:pPr>
        <w:spacing w:before="360" w:after="200"/>
      </w:pPr>
      <w:r>
        <w:rPr>
          <w:rFonts w:ascii="黑体" w:hAnsi="黑体" w:eastAsia="黑体"/>
          <w:b/>
          <w:sz w:val="32"/>
        </w:rPr>
        <w:t>六、员工管理</w:t>
      </w:r>
    </w:p>
    <w:p w14:paraId="14BD27D7">
      <w:pPr>
        <w:spacing w:line="440" w:lineRule="exact"/>
        <w:ind w:firstLine="42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FF0000"/>
          <w:sz w:val="24"/>
        </w:rPr>
        <w:t>（注：适用角色：租户管理员（超级管理员不可见此菜单）</w:t>
      </w:r>
      <w:r>
        <w:rPr>
          <w:rFonts w:hint="eastAsia"/>
          <w:color w:val="FF0000"/>
          <w:sz w:val="24"/>
          <w:lang w:eastAsia="zh-CN"/>
        </w:rPr>
        <w:t>，</w:t>
      </w:r>
      <w:r>
        <w:rPr>
          <w:rFonts w:hint="eastAsia"/>
          <w:color w:val="FF0000"/>
          <w:sz w:val="24"/>
          <w:lang w:val="en-US" w:eastAsia="zh-CN"/>
        </w:rPr>
        <w:t>需要给管理员设置权限后可以查看）</w:t>
      </w:r>
    </w:p>
    <w:p w14:paraId="26338A4E">
      <w:pPr>
        <w:spacing w:before="240" w:after="160"/>
      </w:pPr>
      <w:r>
        <w:rPr>
          <w:rFonts w:ascii="黑体" w:hAnsi="黑体" w:eastAsia="黑体"/>
          <w:b/>
          <w:sz w:val="28"/>
        </w:rPr>
        <w:t>1、员工列表</w:t>
      </w:r>
    </w:p>
    <w:p w14:paraId="58368BE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点击左侧导航栏—&gt;点击员工管理—&gt;进入员工管理页面，可查看当前租户下的所有员工。列表包含用户名、真实姓名、角色、岗位类型、状态等信息。</w:t>
      </w:r>
    </w:p>
    <w:p w14:paraId="359F0E35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72430" cy="1160145"/>
            <wp:effectExtent l="0" t="0" r="13970" b="133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116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4679F">
      <w:pPr>
        <w:spacing w:before="80" w:after="160"/>
        <w:jc w:val="center"/>
      </w:pPr>
      <w:r>
        <w:rPr>
          <w:rFonts w:ascii="宋体" w:hAnsi="宋体" w:eastAsia="宋体"/>
          <w:sz w:val="21"/>
        </w:rPr>
        <w:t>图11 员工管理列表页</w:t>
      </w:r>
    </w:p>
    <w:p w14:paraId="2EB2E9DF">
      <w:pPr>
        <w:spacing w:before="240" w:after="160"/>
      </w:pPr>
      <w:r>
        <w:rPr>
          <w:rFonts w:ascii="黑体" w:hAnsi="黑体" w:eastAsia="黑体"/>
          <w:b/>
          <w:sz w:val="28"/>
        </w:rPr>
        <w:t>2、搜索员工</w:t>
      </w:r>
    </w:p>
    <w:p w14:paraId="127BD20C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在搜索栏中输入姓名或用户名—&gt;点击"查询"按钮执行搜索。</w:t>
      </w:r>
    </w:p>
    <w:p w14:paraId="225C3968">
      <w:pPr>
        <w:spacing w:before="240" w:after="160"/>
      </w:pPr>
      <w:r>
        <w:rPr>
          <w:rFonts w:ascii="黑体" w:hAnsi="黑体" w:eastAsia="黑体"/>
          <w:b/>
          <w:sz w:val="28"/>
        </w:rPr>
        <w:t>3、新增员工</w:t>
      </w:r>
    </w:p>
    <w:p w14:paraId="385E5329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新增员工"按钮—&gt;填写用户名（必填，登录账号，创建后不可修改）、真实姓名（必填）、密码（选填，留空则默认为123456）、角色（必填，从下拉列表选择）、岗位类型（选填：研发/运维/客服）—&gt;点击"确认创建"按钮完成员工添加。</w:t>
      </w:r>
    </w:p>
    <w:p w14:paraId="1A8ED325">
      <w:pPr>
        <w:spacing w:before="80" w:after="160"/>
        <w:jc w:val="center"/>
      </w:pPr>
      <w:r>
        <w:drawing>
          <wp:inline distT="0" distB="0" distL="114300" distR="114300">
            <wp:extent cx="5410200" cy="3762375"/>
            <wp:effectExtent l="0" t="0" r="0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图12 新增员工弹窗</w:t>
      </w:r>
    </w:p>
    <w:p w14:paraId="21E89AF5">
      <w:pPr>
        <w:spacing w:before="240" w:after="160"/>
      </w:pPr>
      <w:r>
        <w:rPr>
          <w:rFonts w:ascii="黑体" w:hAnsi="黑体" w:eastAsia="黑体"/>
          <w:b/>
          <w:sz w:val="28"/>
        </w:rPr>
        <w:t>4、编辑员工</w:t>
      </w:r>
    </w:p>
    <w:p w14:paraId="6347835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在员工列表中—&gt;点击"编辑"按钮—&gt;可修改真实姓名、角色、岗位类型和状态（用户名不可修改）—&gt;点击"确认修改"按钮。</w:t>
      </w:r>
    </w:p>
    <w:p w14:paraId="4FC67802">
      <w:pPr>
        <w:spacing w:before="240" w:after="160"/>
      </w:pPr>
      <w:r>
        <w:rPr>
          <w:rFonts w:ascii="黑体" w:hAnsi="黑体" w:eastAsia="黑体"/>
          <w:b/>
          <w:sz w:val="28"/>
        </w:rPr>
        <w:t>5、重置密码</w:t>
      </w:r>
    </w:p>
    <w:p w14:paraId="522F437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在员工列表中—&gt;点击"重置密码"按钮—&gt;确认后密码将重置为123456。</w:t>
      </w:r>
    </w:p>
    <w:p w14:paraId="5BA75E90">
      <w:pPr>
        <w:spacing w:before="240" w:after="160"/>
      </w:pPr>
      <w:r>
        <w:rPr>
          <w:rFonts w:ascii="黑体" w:hAnsi="黑体" w:eastAsia="黑体"/>
          <w:b/>
          <w:sz w:val="28"/>
        </w:rPr>
        <w:t>6、启用/禁用员工</w:t>
      </w:r>
    </w:p>
    <w:p w14:paraId="669C857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在员工列表中—&gt;直接切换状态开关，或通过编辑弹窗修改状态。禁用后该员工无法登录系统。</w:t>
      </w:r>
    </w:p>
    <w:p w14:paraId="17DB8A13">
      <w:pPr>
        <w:spacing w:before="240" w:after="160"/>
      </w:pPr>
      <w:r>
        <w:rPr>
          <w:rFonts w:ascii="黑体" w:hAnsi="黑体" w:eastAsia="黑体"/>
          <w:b/>
          <w:sz w:val="28"/>
        </w:rPr>
        <w:t>7、删除员工</w:t>
      </w:r>
    </w:p>
    <w:p w14:paraId="6DD7FB02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在员工列表中—&gt;点击"删除"按钮—&gt;确认后删除员工账号。</w:t>
      </w:r>
    </w:p>
    <w:p w14:paraId="73E0CF39">
      <w:pPr>
        <w:spacing w:before="360" w:after="200"/>
      </w:pPr>
      <w:r>
        <w:rPr>
          <w:rFonts w:ascii="黑体" w:hAnsi="黑体" w:eastAsia="黑体"/>
          <w:b/>
          <w:sz w:val="32"/>
        </w:rPr>
        <w:t>七、客户管理</w:t>
      </w:r>
    </w:p>
    <w:p w14:paraId="4F4E6F44">
      <w:pPr>
        <w:spacing w:before="240" w:after="160"/>
      </w:pPr>
      <w:r>
        <w:rPr>
          <w:rFonts w:ascii="黑体" w:hAnsi="黑体" w:eastAsia="黑体"/>
          <w:b/>
          <w:sz w:val="28"/>
        </w:rPr>
        <w:t>1、客户列表</w:t>
      </w:r>
    </w:p>
    <w:p w14:paraId="2B5F851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点击左侧导航栏—&gt;点击客户管理—&gt;进入客户管理页面，可查看客户列表。列表包含客户名称、联系人、联系电话、业务分类、站点名称、合作状态等信息。</w:t>
      </w:r>
    </w:p>
    <w:p w14:paraId="61D3F815">
      <w:pPr>
        <w:spacing w:before="80" w:after="160"/>
        <w:jc w:val="center"/>
      </w:pPr>
      <w:r>
        <w:drawing>
          <wp:inline distT="0" distB="0" distL="114300" distR="114300">
            <wp:extent cx="5485765" cy="1591310"/>
            <wp:effectExtent l="0" t="0" r="635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图13 客户管理列表页</w:t>
      </w:r>
    </w:p>
    <w:p w14:paraId="10C81ABC">
      <w:pPr>
        <w:spacing w:before="240" w:after="160"/>
      </w:pPr>
      <w:r>
        <w:rPr>
          <w:rFonts w:ascii="黑体" w:hAnsi="黑体" w:eastAsia="黑体"/>
          <w:b/>
          <w:sz w:val="28"/>
        </w:rPr>
        <w:t>2、筛选客户</w:t>
      </w:r>
    </w:p>
    <w:p w14:paraId="254EB6FC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筛选栏中按条件输入需查询信息：客户名称（模糊搜索）、业务分类（下拉选择）、站点名称（根据一级分类联动显示）、合作状态（下拉选择）、联系人（模糊搜索）、运维需求（下拉选择）—&gt;点击"查询"按钮执行搜索。</w:t>
      </w:r>
    </w:p>
    <w:p w14:paraId="1038767E">
      <w:pPr>
        <w:spacing w:before="240" w:after="160"/>
      </w:pPr>
      <w:r>
        <w:rPr>
          <w:rFonts w:ascii="黑体" w:hAnsi="黑体" w:eastAsia="黑体"/>
          <w:b/>
          <w:sz w:val="28"/>
        </w:rPr>
        <w:t>3、新增客户</w:t>
      </w:r>
    </w:p>
    <w:p w14:paraId="3B90BA8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新增客户"按钮—&gt;在弹窗中填写客户名称（必填）、联系人（必填）、联系电话（必填）、跟进人（选填）、业务分类（必填）、站点名称（必填，选择一级分类后联动显示）、合作状态（选填）、用气规模（选填）、运维需求（选填）、客户地址（必填，省/市/区三级联动选择）、详细地址（选填）、智慧燃气设备信息（选填）、合同信息（选填）、客户备注（选填）—&gt;点击"确定"按钮完成客户添加。</w:t>
      </w:r>
    </w:p>
    <w:p w14:paraId="190C06E8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0685" cy="4874895"/>
            <wp:effectExtent l="0" t="0" r="5715" b="190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487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6700A">
      <w:pPr>
        <w:spacing w:before="80" w:after="160"/>
        <w:jc w:val="center"/>
      </w:pPr>
      <w:r>
        <w:rPr>
          <w:rFonts w:ascii="宋体" w:hAnsi="宋体" w:eastAsia="宋体"/>
          <w:sz w:val="21"/>
        </w:rPr>
        <w:t>图14 新增客户弹窗</w:t>
      </w:r>
    </w:p>
    <w:p w14:paraId="13BA1A3B">
      <w:pPr>
        <w:spacing w:before="240" w:after="160"/>
      </w:pPr>
      <w:r>
        <w:rPr>
          <w:rFonts w:ascii="黑体" w:hAnsi="黑体" w:eastAsia="黑体"/>
          <w:b/>
          <w:sz w:val="28"/>
        </w:rPr>
        <w:t>4、编辑客户</w:t>
      </w:r>
    </w:p>
    <w:p w14:paraId="63223441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在客户列表中—&gt;点击"编辑"按钮—&gt;修改客户信息—&gt;点击"确定"按钮。</w:t>
      </w:r>
    </w:p>
    <w:p w14:paraId="390DDF62">
      <w:pPr>
        <w:spacing w:before="240" w:after="160"/>
      </w:pPr>
      <w:r>
        <w:rPr>
          <w:rFonts w:ascii="黑体" w:hAnsi="黑体" w:eastAsia="黑体"/>
          <w:b/>
          <w:sz w:val="28"/>
        </w:rPr>
        <w:t>5、查看客户详情</w:t>
      </w:r>
    </w:p>
    <w:p w14:paraId="4EBBD389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客户列表中—&gt;点击"详情"按钮—&gt;弹窗展示客户完整信息，包含基本信息（客户名称、联系人、联系电话、业务分类、合作状态等）、客户附件（支持上传、下载、预览、删除附件）、修改记录（时间线展示客户信息的修改历史）。</w:t>
      </w:r>
    </w:p>
    <w:p w14:paraId="7B6AE919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5130" cy="4916170"/>
            <wp:effectExtent l="0" t="0" r="127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5BDDE">
      <w:pPr>
        <w:spacing w:before="80" w:after="160"/>
        <w:jc w:val="center"/>
      </w:pPr>
      <w:r>
        <w:rPr>
          <w:rFonts w:ascii="宋体" w:hAnsi="宋体" w:eastAsia="宋体"/>
          <w:sz w:val="21"/>
        </w:rPr>
        <w:t>图15 客户详情弹窗</w:t>
      </w:r>
    </w:p>
    <w:p w14:paraId="28B208FE">
      <w:pPr>
        <w:spacing w:before="240" w:after="160"/>
      </w:pPr>
      <w:r>
        <w:rPr>
          <w:rFonts w:ascii="黑体" w:hAnsi="黑体" w:eastAsia="黑体"/>
          <w:b/>
          <w:sz w:val="28"/>
        </w:rPr>
        <w:t>6、附件管理</w:t>
      </w:r>
    </w:p>
    <w:p w14:paraId="4701296F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在客户详情弹窗中可管理附件：点击"上传"按钮上传附件（支持JPG/PNG/PDF/DOC/DOCX/XLS/XLSX格式，单文件不超过20MB）、图片类型附件支持在线预览、点击"下载"按钮下载附件、点击"删除"按钮删除附件。</w:t>
      </w:r>
    </w:p>
    <w:p w14:paraId="0CAC355C">
      <w:pPr>
        <w:spacing w:before="80" w:after="160"/>
        <w:jc w:val="center"/>
      </w:pPr>
      <w:r>
        <w:drawing>
          <wp:inline distT="0" distB="0" distL="114300" distR="114300">
            <wp:extent cx="5485130" cy="1102360"/>
            <wp:effectExtent l="0" t="0" r="127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110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图16 客户附件管理</w:t>
      </w:r>
    </w:p>
    <w:p w14:paraId="09AC2D6C">
      <w:pPr>
        <w:spacing w:before="240" w:after="160"/>
      </w:pPr>
      <w:r>
        <w:rPr>
          <w:rFonts w:ascii="黑体" w:hAnsi="黑体" w:eastAsia="黑体"/>
          <w:b/>
          <w:sz w:val="28"/>
        </w:rPr>
        <w:t>7、跟进记录</w:t>
      </w:r>
    </w:p>
    <w:p w14:paraId="6EABDA5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在客户列表中—&gt;点击"跟进"按钮—&gt;弹窗展示该客户的跟进记录时间线—&gt;点击"+ 新增跟进"按钮添加跟进记录：填写跟进时间（必填，默认当前时间）、跟进方式（必填：电话/上门/微信/邮件/其他）、跟进状态（必填：待跟进/进行中/已完成）、跟进内容（必填）、下一步计划（选填）、变更合作状态（选填，可选择新的合作状态并填写变更原因）—&gt;点击"确定"保存。</w:t>
      </w:r>
    </w:p>
    <w:p w14:paraId="50B8B2D7">
      <w:pPr>
        <w:spacing w:before="80" w:after="160"/>
        <w:jc w:val="center"/>
      </w:pPr>
      <w:r>
        <w:drawing>
          <wp:inline distT="0" distB="0" distL="114300" distR="114300">
            <wp:extent cx="5481955" cy="2401570"/>
            <wp:effectExtent l="0" t="0" r="4445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340D7">
      <w:pPr>
        <w:spacing w:before="80" w:after="160"/>
        <w:jc w:val="center"/>
      </w:pPr>
      <w:r>
        <w:drawing>
          <wp:inline distT="0" distB="0" distL="114300" distR="114300">
            <wp:extent cx="5483860" cy="5918200"/>
            <wp:effectExtent l="0" t="0" r="254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591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29602">
      <w:pPr>
        <w:spacing w:before="80" w:after="160"/>
        <w:jc w:val="center"/>
      </w:pPr>
      <w:r>
        <w:rPr>
          <w:rFonts w:ascii="宋体" w:hAnsi="宋体" w:eastAsia="宋体"/>
          <w:sz w:val="21"/>
        </w:rPr>
        <w:t>图17 跟进记录管理</w:t>
      </w:r>
    </w:p>
    <w:p w14:paraId="0C2B2861">
      <w:pPr>
        <w:spacing w:before="240" w:after="160"/>
      </w:pPr>
      <w:r>
        <w:rPr>
          <w:rFonts w:ascii="黑体" w:hAnsi="黑体" w:eastAsia="黑体"/>
          <w:b/>
          <w:sz w:val="28"/>
        </w:rPr>
        <w:t>8、导入客户</w:t>
      </w:r>
    </w:p>
    <w:p w14:paraId="6B04D59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点击"导入"按钮—&gt;在弹窗中选择Excel文件（.xlsx/.xls格式，不超过5MB，单次最多1000条）—&gt;点击"开始导入"。</w:t>
      </w:r>
    </w:p>
    <w:p w14:paraId="4EA4D1A7">
      <w:pPr>
        <w:spacing w:before="240" w:after="160"/>
      </w:pPr>
      <w:r>
        <w:rPr>
          <w:rFonts w:ascii="黑体" w:hAnsi="黑体" w:eastAsia="黑体"/>
          <w:b/>
          <w:sz w:val="28"/>
        </w:rPr>
        <w:t>9、导出客户</w:t>
      </w:r>
    </w:p>
    <w:p w14:paraId="1DE482C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点击"导出"按钮—&gt;系统根据当前筛选条件导出客户列表为Excel文件。</w:t>
      </w:r>
    </w:p>
    <w:p w14:paraId="3CDC3706">
      <w:pPr>
        <w:spacing w:before="360" w:after="200"/>
      </w:pPr>
      <w:r>
        <w:rPr>
          <w:rFonts w:ascii="黑体" w:hAnsi="黑体" w:eastAsia="黑体"/>
          <w:b/>
          <w:sz w:val="32"/>
        </w:rPr>
        <w:t>八、合同管理</w:t>
      </w:r>
    </w:p>
    <w:p w14:paraId="261E72EF">
      <w:pPr>
        <w:spacing w:before="240" w:after="160"/>
      </w:pPr>
      <w:r>
        <w:rPr>
          <w:rFonts w:ascii="黑体" w:hAnsi="黑体" w:eastAsia="黑体"/>
          <w:b/>
          <w:sz w:val="28"/>
        </w:rPr>
        <w:t>1、合同列表</w:t>
      </w:r>
    </w:p>
    <w:p w14:paraId="2FCC811C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点击左侧导航栏—&gt;点击合同管理—&gt;进入合同管理页面，可查看合同列表。列表包含合同编号、客户名称、签订日期、到期日期、合同状态、合同金额等信息。</w:t>
      </w:r>
    </w:p>
    <w:p w14:paraId="44A4721C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3860" cy="1917065"/>
            <wp:effectExtent l="0" t="0" r="2540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191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54A6F">
      <w:pPr>
        <w:spacing w:before="80" w:after="160"/>
        <w:jc w:val="center"/>
      </w:pPr>
      <w:r>
        <w:rPr>
          <w:rFonts w:ascii="宋体" w:hAnsi="宋体" w:eastAsia="宋体"/>
          <w:sz w:val="21"/>
        </w:rPr>
        <w:t>图18 合同管理列表页</w:t>
      </w:r>
    </w:p>
    <w:p w14:paraId="64BD0419">
      <w:pPr>
        <w:spacing w:before="240" w:after="160"/>
      </w:pPr>
      <w:r>
        <w:rPr>
          <w:rFonts w:ascii="黑体" w:hAnsi="黑体" w:eastAsia="黑体"/>
          <w:b/>
          <w:sz w:val="28"/>
        </w:rPr>
        <w:t>2、筛选合同</w:t>
      </w:r>
    </w:p>
    <w:p w14:paraId="46EFBE2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在筛选栏中按条件输入需查询信息：合同编号（精确搜索）、客户名称（模糊搜索）、签订日期（日期范围选择）、到期日期（日期范围选择）、合同状态（下拉选择）—&gt;点击"查询"按钮执行搜索。</w:t>
      </w:r>
    </w:p>
    <w:p w14:paraId="76419D34">
      <w:pPr>
        <w:spacing w:before="240" w:after="160"/>
      </w:pPr>
      <w:r>
        <w:rPr>
          <w:rFonts w:ascii="黑体" w:hAnsi="黑体" w:eastAsia="黑体"/>
          <w:b/>
          <w:sz w:val="28"/>
        </w:rPr>
        <w:t>3、新增合同</w:t>
      </w:r>
    </w:p>
    <w:p w14:paraId="381F8E2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新增合同"按钮—&gt;填写客户名称（必填，从客户列表中选择）、合同金额（选填）、合同状态（选填）、签订日期（必填）、到期日期（必填）、付款方式（选填）、负责人（选填）、服务内容（选填）、备注（选填）、合同扫描件（选填，上传文件，单文件不超过20MB）—&gt;点击"确定"按钮。</w:t>
      </w:r>
    </w:p>
    <w:p w14:paraId="5A44F972">
      <w:pPr>
        <w:spacing w:before="80" w:after="160"/>
        <w:jc w:val="center"/>
      </w:pPr>
      <w:r>
        <w:drawing>
          <wp:inline distT="0" distB="0" distL="114300" distR="114300">
            <wp:extent cx="5486400" cy="4513580"/>
            <wp:effectExtent l="0" t="0" r="0" b="1270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图19 新增合同弹窗</w:t>
      </w:r>
    </w:p>
    <w:p w14:paraId="395B9971">
      <w:pPr>
        <w:spacing w:before="240" w:after="160"/>
      </w:pPr>
      <w:r>
        <w:rPr>
          <w:rFonts w:ascii="黑体" w:hAnsi="黑体" w:eastAsia="黑体"/>
          <w:b/>
          <w:sz w:val="28"/>
        </w:rPr>
        <w:t>4、编辑合同</w:t>
      </w:r>
    </w:p>
    <w:p w14:paraId="41609F4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在合同列表中—&gt;点击"编辑"按钮—&gt;可修改合同状态、到期日期（必须填写修改原因）—&gt;可上传新的合同扫描件—&gt;点击"确定"按钮。</w:t>
      </w:r>
    </w:p>
    <w:p w14:paraId="06DA1709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（注：编辑合同时必须填写修改原因，系统会记录修改历史。）</w:t>
      </w:r>
    </w:p>
    <w:p w14:paraId="78E4E93E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4495" cy="3321685"/>
            <wp:effectExtent l="0" t="0" r="1905" b="63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E693E">
      <w:pPr>
        <w:spacing w:before="80" w:after="160"/>
        <w:jc w:val="center"/>
      </w:pPr>
      <w:r>
        <w:rPr>
          <w:rFonts w:ascii="宋体" w:hAnsi="宋体" w:eastAsia="宋体"/>
          <w:sz w:val="21"/>
        </w:rPr>
        <w:t>图20 编辑合同弹窗</w:t>
      </w:r>
    </w:p>
    <w:p w14:paraId="32726533">
      <w:pPr>
        <w:spacing w:before="240" w:after="160"/>
      </w:pPr>
      <w:r>
        <w:rPr>
          <w:rFonts w:ascii="黑体" w:hAnsi="黑体" w:eastAsia="黑体"/>
          <w:b/>
          <w:sz w:val="28"/>
        </w:rPr>
        <w:t>5、查看合同详情</w:t>
      </w:r>
    </w:p>
    <w:p w14:paraId="2151AD1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在合同列表中—&gt;点击"详情"按钮—&gt;弹窗展示合同完整信息：基本信息（合同编号、客户名称、状态、日期、金额等）、合同附件（附件列表，支持下载）、修改记录（时间线展示合同修改历史）。</w:t>
      </w:r>
    </w:p>
    <w:p w14:paraId="2103D8C2">
      <w:pPr>
        <w:spacing w:before="80" w:after="160"/>
        <w:jc w:val="center"/>
      </w:pPr>
      <w:r>
        <w:drawing>
          <wp:inline distT="0" distB="0" distL="114300" distR="114300">
            <wp:extent cx="5481320" cy="5651500"/>
            <wp:effectExtent l="0" t="0" r="508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565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图21 合同详情弹窗</w:t>
      </w:r>
    </w:p>
    <w:p w14:paraId="1552235B">
      <w:pPr>
        <w:spacing w:before="240" w:after="160"/>
      </w:pPr>
      <w:r>
        <w:rPr>
          <w:rFonts w:ascii="黑体" w:hAnsi="黑体" w:eastAsia="黑体"/>
          <w:b/>
          <w:sz w:val="28"/>
        </w:rPr>
        <w:t>6、删除合同</w:t>
      </w:r>
    </w:p>
    <w:p w14:paraId="61EB629F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在合同列表中—&gt;点击"删除"按钮—&gt;确认后删除合同。</w:t>
      </w:r>
    </w:p>
    <w:p w14:paraId="7D2BE2A7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（注：合同删除后不可恢复，请谨慎操作。）</w:t>
      </w:r>
    </w:p>
    <w:p w14:paraId="302A397F">
      <w:pPr>
        <w:spacing w:before="240" w:after="160"/>
      </w:pPr>
      <w:r>
        <w:rPr>
          <w:rFonts w:ascii="黑体" w:hAnsi="黑体" w:eastAsia="黑体"/>
          <w:b/>
          <w:sz w:val="28"/>
        </w:rPr>
        <w:t>7、导出合同</w:t>
      </w:r>
    </w:p>
    <w:p w14:paraId="4F1B815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点击"导出"按钮—&gt;根据当前筛选条件导出合同列表为Excel文件。</w:t>
      </w:r>
    </w:p>
    <w:p w14:paraId="677B2C64">
      <w:pPr>
        <w:spacing w:before="360" w:after="200"/>
      </w:pPr>
      <w:r>
        <w:rPr>
          <w:rFonts w:ascii="黑体" w:hAnsi="黑体" w:eastAsia="黑体"/>
          <w:b/>
          <w:sz w:val="32"/>
        </w:rPr>
        <w:t>九、报修管理</w:t>
      </w:r>
    </w:p>
    <w:p w14:paraId="554AEC28">
      <w:pPr>
        <w:spacing w:before="240" w:after="160"/>
      </w:pPr>
      <w:r>
        <w:rPr>
          <w:rFonts w:ascii="黑体" w:hAnsi="黑体" w:eastAsia="黑体"/>
          <w:b/>
          <w:sz w:val="28"/>
        </w:rPr>
        <w:t>1、报修列表</w:t>
      </w:r>
    </w:p>
    <w:p w14:paraId="5022AC4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点击左侧导航栏—&gt;点击报修管理—&gt;进入报修管理页面，可查看报修工单列表。列表包含报修单号、客户名称、报修内容、报修时间、紧急程度、报修状态、运维人员等信息。</w:t>
      </w:r>
    </w:p>
    <w:p w14:paraId="2C0CBE74">
      <w:pPr>
        <w:spacing w:before="80" w:after="160"/>
        <w:jc w:val="center"/>
        <w:rPr>
          <w:rFonts w:ascii="宋体" w:hAnsi="宋体" w:eastAsia="宋体"/>
          <w:sz w:val="21"/>
        </w:rPr>
      </w:pPr>
      <w:r>
        <w:drawing>
          <wp:inline distT="0" distB="0" distL="114300" distR="114300">
            <wp:extent cx="5483860" cy="1720215"/>
            <wp:effectExtent l="0" t="0" r="2540" b="190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172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E653A">
      <w:pPr>
        <w:spacing w:before="80" w:after="160"/>
        <w:jc w:val="center"/>
      </w:pPr>
      <w:r>
        <w:rPr>
          <w:rFonts w:ascii="宋体" w:hAnsi="宋体" w:eastAsia="宋体"/>
          <w:sz w:val="21"/>
        </w:rPr>
        <w:t>图22 报修管理列表页</w:t>
      </w:r>
    </w:p>
    <w:p w14:paraId="7837FAA4">
      <w:pPr>
        <w:spacing w:before="240" w:after="160"/>
      </w:pPr>
      <w:r>
        <w:rPr>
          <w:rFonts w:ascii="黑体" w:hAnsi="黑体" w:eastAsia="黑体"/>
          <w:b/>
          <w:sz w:val="28"/>
        </w:rPr>
        <w:t>2、筛选报修</w:t>
      </w:r>
    </w:p>
    <w:p w14:paraId="70E5DCF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筛选栏中按条件输入需查询信息：客户名称（模糊搜索）、报修时间（日期范围选择）、报修状态（下拉选择）、运维人员（模糊搜索）、紧急程度（下拉选择）、报修类型（下拉选择）—&gt;点击"查询"按钮执行搜索。</w:t>
      </w:r>
    </w:p>
    <w:p w14:paraId="621CA872">
      <w:pPr>
        <w:spacing w:before="240" w:after="160"/>
      </w:pPr>
      <w:r>
        <w:rPr>
          <w:rFonts w:ascii="黑体" w:hAnsi="黑体" w:eastAsia="黑体"/>
          <w:b/>
          <w:sz w:val="28"/>
        </w:rPr>
        <w:t>3、新增报修</w:t>
      </w:r>
    </w:p>
    <w:p w14:paraId="4F13A1AB">
      <w:pPr>
        <w:spacing w:before="120" w:after="40"/>
        <w:jc w:val="center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点击"新增报修"按钮—&gt;填写客户名称（选填，选择客户后自动填充联系人、联系电话、报修地点）、联系人（选填）、联系电话（选填）、报修类型（选填）、报修时间（选填）、紧急程度（选填：普通/紧急）、报修地点（选填）、报修内容（必填）、故障描述细化（选填）、现场照片（选填，上传图片）—&gt;点击"确定"按钮。</w:t>
      </w:r>
    </w:p>
    <w:p w14:paraId="54E70EB0">
      <w:pPr>
        <w:spacing w:before="120" w:after="40"/>
        <w:jc w:val="center"/>
        <w:rPr>
          <w:rFonts w:ascii="宋体" w:hAnsi="宋体" w:eastAsia="宋体"/>
          <w:sz w:val="24"/>
        </w:rPr>
      </w:pPr>
      <w:r>
        <w:drawing>
          <wp:inline distT="0" distB="0" distL="114300" distR="114300">
            <wp:extent cx="5486400" cy="5097145"/>
            <wp:effectExtent l="0" t="0" r="0" b="825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26631">
      <w:pPr>
        <w:spacing w:before="80" w:after="160"/>
        <w:jc w:val="center"/>
      </w:pPr>
      <w:r>
        <w:rPr>
          <w:rFonts w:ascii="宋体" w:hAnsi="宋体" w:eastAsia="宋体"/>
          <w:sz w:val="21"/>
        </w:rPr>
        <w:t>图23 新增报修弹窗</w:t>
      </w:r>
    </w:p>
    <w:p w14:paraId="24C8AB25">
      <w:pPr>
        <w:spacing w:before="240" w:after="160"/>
      </w:pPr>
      <w:r>
        <w:rPr>
          <w:rFonts w:ascii="黑体" w:hAnsi="黑体" w:eastAsia="黑体"/>
          <w:b/>
          <w:sz w:val="28"/>
        </w:rPr>
        <w:t>4、报修工单流程</w:t>
      </w:r>
    </w:p>
    <w:p w14:paraId="7B896AD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报修工单的完整处理流程：创建报修—&gt;未处理—&gt;分配运维人员—&gt;处理中—&gt;已解决—&gt;客户确认闭环。如无法解决则重新分配运维人员。</w:t>
      </w:r>
    </w:p>
    <w:p w14:paraId="32A34A27">
      <w:pPr>
        <w:spacing w:before="80" w:after="160"/>
        <w:jc w:val="center"/>
      </w:pPr>
      <w:r>
        <w:drawing>
          <wp:inline distT="0" distB="0" distL="114300" distR="114300">
            <wp:extent cx="5486400" cy="1865630"/>
            <wp:effectExtent l="0" t="0" r="0" b="889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图24 报修工单流程图</w:t>
      </w:r>
    </w:p>
    <w:p w14:paraId="628F81A6">
      <w:pPr>
        <w:spacing w:before="240" w:after="160"/>
      </w:pPr>
      <w:r>
        <w:rPr>
          <w:rFonts w:ascii="黑体" w:hAnsi="黑体" w:eastAsia="黑体"/>
          <w:b/>
          <w:sz w:val="28"/>
        </w:rPr>
        <w:t>5、分配报修单</w:t>
      </w:r>
    </w:p>
    <w:p w14:paraId="2B3827B2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在报修列表中—&gt;点击"分配"按钮—&gt;选择运维人员—&gt;点击"确定"按钮。</w:t>
      </w:r>
    </w:p>
    <w:p w14:paraId="2470BC86">
      <w:pPr>
        <w:spacing w:before="80" w:after="160"/>
        <w:jc w:val="center"/>
      </w:pPr>
      <w:r>
        <w:drawing>
          <wp:inline distT="0" distB="0" distL="114300" distR="114300">
            <wp:extent cx="4905375" cy="2190750"/>
            <wp:effectExtent l="0" t="0" r="1905" b="381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FE54E">
      <w:pPr>
        <w:spacing w:before="80" w:after="160"/>
        <w:jc w:val="center"/>
      </w:pPr>
      <w:r>
        <w:rPr>
          <w:rFonts w:ascii="宋体" w:hAnsi="宋体" w:eastAsia="宋体"/>
          <w:sz w:val="21"/>
        </w:rPr>
        <w:t>图25 分配报修单弹窗</w:t>
      </w:r>
    </w:p>
    <w:p w14:paraId="60C7105A">
      <w:pPr>
        <w:spacing w:before="240" w:after="160"/>
      </w:pPr>
      <w:r>
        <w:rPr>
          <w:rFonts w:ascii="黑体" w:hAnsi="黑体" w:eastAsia="黑体"/>
          <w:b/>
          <w:sz w:val="28"/>
        </w:rPr>
        <w:t>6、更新报修进度</w:t>
      </w:r>
    </w:p>
    <w:p w14:paraId="0DB8C940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报修列表中—&gt;点击"处理"按钮（仅"处理中"状态可操作）—&gt;填写新状态（必填：处理中/已解决/无法解决）、处理方式（选填）、更换配件（选填）、故障原因（选填）、处理现场照片（选填）—&gt;点击"确定"按钮。</w:t>
      </w:r>
    </w:p>
    <w:p w14:paraId="2EC5A552">
      <w:pPr>
        <w:spacing w:before="80" w:after="160"/>
        <w:jc w:val="center"/>
      </w:pPr>
      <w:r>
        <w:drawing>
          <wp:inline distT="0" distB="0" distL="114300" distR="114300">
            <wp:extent cx="5483225" cy="5161915"/>
            <wp:effectExtent l="0" t="0" r="3175" b="444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516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图26 更新报修进度弹窗</w:t>
      </w:r>
    </w:p>
    <w:p w14:paraId="139105B2">
      <w:pPr>
        <w:spacing w:before="240" w:after="160"/>
      </w:pPr>
      <w:r>
        <w:rPr>
          <w:rFonts w:ascii="黑体" w:hAnsi="黑体" w:eastAsia="黑体"/>
          <w:b/>
          <w:sz w:val="28"/>
        </w:rPr>
        <w:t>7、确认闭环</w:t>
      </w:r>
    </w:p>
    <w:p w14:paraId="1E4F569B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在报修详情中—&gt;已解决的工单可点击"确认闭环"按钮—&gt;确认后工单状态变为已确认，不可再编辑。</w:t>
      </w:r>
    </w:p>
    <w:p w14:paraId="47E0902D">
      <w:pPr>
        <w:spacing w:before="240" w:after="160"/>
      </w:pPr>
      <w:r>
        <w:rPr>
          <w:rFonts w:ascii="黑体" w:hAnsi="黑体" w:eastAsia="黑体"/>
          <w:b/>
          <w:sz w:val="28"/>
        </w:rPr>
        <w:t>8、标记异常</w:t>
      </w:r>
    </w:p>
    <w:p w14:paraId="5F141121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在报修详情中—&gt;非已解决的工单可点击"标记异常"按钮—&gt;填写异常原因（必填）、二次处理计划（选填）、二次处理提醒时间（选填）—&gt;点击"确定"按钮。</w:t>
      </w:r>
    </w:p>
    <w:p w14:paraId="4C54A8C1">
      <w:pPr>
        <w:spacing w:before="240" w:after="160"/>
      </w:pPr>
      <w:r>
        <w:rPr>
          <w:rFonts w:ascii="黑体" w:hAnsi="黑体" w:eastAsia="黑体"/>
          <w:b/>
          <w:sz w:val="28"/>
        </w:rPr>
        <w:t>9、查看报修详情</w:t>
      </w:r>
    </w:p>
    <w:p w14:paraId="6FEF7E3B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报修列表中—&gt;点击"详情"按钮—&gt;弹窗展示报修完整信息：基本信息（报修单号、客户、联系人、报修内容等）、分配信息（运维人员、分配时间、分配人）、处理信息（处理时间、处理方式、更换配件、故障原因）、异常信息（如有：异常原因、二次处理计划、提醒时间）、附件（支持上传和删除）、处理记录（时间线展示工单状态变更历史）。</w:t>
      </w:r>
    </w:p>
    <w:p w14:paraId="3F7A702D">
      <w:pPr>
        <w:spacing w:before="80" w:after="160"/>
        <w:jc w:val="center"/>
      </w:pPr>
      <w:r>
        <w:drawing>
          <wp:inline distT="0" distB="0" distL="114300" distR="114300">
            <wp:extent cx="5482590" cy="4805680"/>
            <wp:effectExtent l="0" t="0" r="3810" b="1016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图28 报修详情弹窗</w:t>
      </w:r>
    </w:p>
    <w:p w14:paraId="2AE80FEC">
      <w:pPr>
        <w:spacing w:before="240" w:after="160"/>
      </w:pPr>
      <w:r>
        <w:rPr>
          <w:rFonts w:ascii="黑体" w:hAnsi="黑体" w:eastAsia="黑体"/>
          <w:b/>
          <w:sz w:val="28"/>
        </w:rPr>
        <w:t>10、报修统计</w:t>
      </w:r>
    </w:p>
    <w:p w14:paraId="65DADF1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统计"按钮—&gt;弹窗展示报修统计数据：统计概览（报修总量、已解决、未处理、处理中、异常数、解决率）、高频报修客户TOP10（报修次数最多的客户排名）、高频故障类型TOP10（出现最多的故障类型排名）。</w:t>
      </w:r>
    </w:p>
    <w:p w14:paraId="5CFF4EFD">
      <w:pPr>
        <w:spacing w:before="80" w:after="160"/>
        <w:jc w:val="center"/>
      </w:pPr>
      <w:r>
        <w:drawing>
          <wp:inline distT="0" distB="0" distL="114300" distR="114300">
            <wp:extent cx="5482590" cy="1888490"/>
            <wp:effectExtent l="0" t="0" r="3810" b="127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88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图29 报修统计弹窗</w:t>
      </w:r>
    </w:p>
    <w:p w14:paraId="2B5CA31B">
      <w:pPr>
        <w:spacing w:before="240" w:after="160"/>
      </w:pPr>
      <w:r>
        <w:rPr>
          <w:rFonts w:ascii="黑体" w:hAnsi="黑体" w:eastAsia="黑体"/>
          <w:b/>
          <w:sz w:val="28"/>
        </w:rPr>
        <w:t>11、导出报修</w:t>
      </w:r>
    </w:p>
    <w:p w14:paraId="4ED3C8D7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点击"导出"按钮—&gt;根据当前筛选条件导出报修列表为Excel文件。</w:t>
      </w:r>
    </w:p>
    <w:p w14:paraId="6FA4C32B">
      <w:pPr>
        <w:spacing w:before="360" w:after="200"/>
      </w:pPr>
      <w:r>
        <w:rPr>
          <w:rFonts w:ascii="黑体" w:hAnsi="黑体" w:eastAsia="黑体"/>
          <w:b/>
          <w:sz w:val="32"/>
        </w:rPr>
        <w:t>十、报表管理</w:t>
      </w:r>
    </w:p>
    <w:p w14:paraId="1B0EAC58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报表管理模块包含五个子功能：我的报表、审批管理、报表查询、数据看板、逾期管理。</w:t>
      </w:r>
    </w:p>
    <w:p w14:paraId="702ACA07">
      <w:pPr>
        <w:spacing w:before="240" w:after="160"/>
      </w:pPr>
      <w:r>
        <w:rPr>
          <w:rFonts w:ascii="黑体" w:hAnsi="黑体" w:eastAsia="黑体"/>
          <w:b/>
          <w:sz w:val="28"/>
        </w:rPr>
        <w:t>1、我的报表</w:t>
      </w:r>
    </w:p>
    <w:p w14:paraId="53FBA804">
      <w:pPr>
        <w:spacing w:before="160" w:after="120"/>
      </w:pPr>
      <w:r>
        <w:rPr>
          <w:rFonts w:ascii="黑体" w:hAnsi="黑体" w:eastAsia="黑体"/>
          <w:b/>
          <w:sz w:val="24"/>
        </w:rPr>
        <w:t>（1）报表列表</w:t>
      </w:r>
      <w:bookmarkStart w:id="0" w:name="_GoBack"/>
      <w:bookmarkEnd w:id="0"/>
    </w:p>
    <w:p w14:paraId="6326A24F">
      <w:pPr>
        <w:spacing w:line="440" w:lineRule="exact"/>
        <w:ind w:firstLine="420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点击左侧导航栏—&gt;点击报表管理—&gt;点击我的报表—&gt;进入我的报表页面，可查看当前用户创建的报表列表。</w:t>
      </w:r>
    </w:p>
    <w:p w14:paraId="7D5FD927">
      <w:pPr>
        <w:spacing w:line="440" w:lineRule="exact"/>
        <w:ind w:firstLine="420"/>
        <w:rPr>
          <w:rFonts w:hint="eastAsia" w:ascii="宋体" w:hAnsi="宋体" w:eastAsia="宋体"/>
          <w:color w:val="FF0000"/>
          <w:sz w:val="24"/>
          <w:lang w:eastAsia="zh-CN"/>
        </w:rPr>
      </w:pPr>
      <w:r>
        <w:rPr>
          <w:rFonts w:hint="eastAsia"/>
          <w:color w:val="FF0000"/>
          <w:sz w:val="24"/>
          <w:lang w:eastAsia="zh-CN"/>
        </w:rPr>
        <w:t>（</w:t>
      </w:r>
      <w:r>
        <w:rPr>
          <w:rFonts w:hint="eastAsia"/>
          <w:color w:val="FF0000"/>
          <w:sz w:val="24"/>
          <w:lang w:val="en-US" w:eastAsia="zh-CN"/>
        </w:rPr>
        <w:t>需要给相应的员工设置相应的职位，否则无法添加报表</w:t>
      </w:r>
      <w:r>
        <w:rPr>
          <w:rFonts w:hint="eastAsia"/>
          <w:color w:val="FF0000"/>
          <w:sz w:val="24"/>
          <w:lang w:eastAsia="zh-CN"/>
        </w:rPr>
        <w:t>）</w:t>
      </w:r>
    </w:p>
    <w:p w14:paraId="19C2FF62">
      <w:pPr>
        <w:spacing w:before="80" w:after="160"/>
        <w:jc w:val="center"/>
      </w:pPr>
      <w:r>
        <w:drawing>
          <wp:inline distT="0" distB="0" distL="114300" distR="114300">
            <wp:extent cx="5485130" cy="1645285"/>
            <wp:effectExtent l="0" t="0" r="1270" b="63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图30 我的报表列表页</w:t>
      </w:r>
    </w:p>
    <w:p w14:paraId="331845AC">
      <w:pPr>
        <w:spacing w:before="160" w:after="120"/>
      </w:pPr>
      <w:r>
        <w:rPr>
          <w:rFonts w:ascii="黑体" w:hAnsi="黑体" w:eastAsia="黑体"/>
          <w:b/>
          <w:sz w:val="24"/>
        </w:rPr>
        <w:t>（2）筛选报表</w:t>
      </w:r>
    </w:p>
    <w:p w14:paraId="51D442F2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可按报表类型（日报/周报/月报）、报表周期、状态（草稿/已提交/已审批/已驳回）筛选。</w:t>
      </w:r>
    </w:p>
    <w:p w14:paraId="44CC0669">
      <w:pPr>
        <w:spacing w:before="160" w:after="120"/>
      </w:pPr>
      <w:r>
        <w:rPr>
          <w:rFonts w:ascii="黑体" w:hAnsi="黑体" w:eastAsia="黑体"/>
          <w:b/>
          <w:sz w:val="24"/>
        </w:rPr>
        <w:t>（3）新建报表</w:t>
      </w:r>
    </w:p>
    <w:p w14:paraId="407A39D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点击"新建报表"按钮—&gt;填写报表类型（必填：日报/周报/月报）、周期（必填：日报选择日期、周报选择日期范围、月报选择月份）、内容（选填）—&gt;点击"保存"按钮。</w:t>
      </w:r>
    </w:p>
    <w:p w14:paraId="57DD9DEC">
      <w:pPr>
        <w:spacing w:before="80" w:after="160"/>
        <w:jc w:val="center"/>
      </w:pPr>
      <w:r>
        <w:drawing>
          <wp:inline distT="0" distB="0" distL="114300" distR="114300">
            <wp:extent cx="5480050" cy="3404235"/>
            <wp:effectExtent l="0" t="0" r="6350" b="952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340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图31 新建报表弹窗</w:t>
      </w:r>
    </w:p>
    <w:p w14:paraId="21F4036E">
      <w:pPr>
        <w:spacing w:before="160" w:after="120"/>
      </w:pPr>
      <w:r>
        <w:rPr>
          <w:rFonts w:ascii="黑体" w:hAnsi="黑体" w:eastAsia="黑体"/>
          <w:b/>
          <w:sz w:val="24"/>
        </w:rPr>
        <w:t>（4）编辑报表</w:t>
      </w:r>
    </w:p>
    <w:p w14:paraId="4AAF8163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仅"草稿"和"已驳回"状态的报表可编辑。点击"编辑"按钮修改报表内容。</w:t>
      </w:r>
    </w:p>
    <w:p w14:paraId="31A580B7">
      <w:pPr>
        <w:spacing w:before="160" w:after="120"/>
      </w:pPr>
      <w:r>
        <w:rPr>
          <w:rFonts w:ascii="黑体" w:hAnsi="黑体" w:eastAsia="黑体"/>
          <w:b/>
          <w:sz w:val="24"/>
        </w:rPr>
        <w:t>（5）提交报表</w:t>
      </w:r>
    </w:p>
    <w:p w14:paraId="4213D326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仅"草稿"和"已驳回"状态的报表可提交。点击"提交"按钮—&gt;确认后提交进入审批流程。</w:t>
      </w:r>
    </w:p>
    <w:p w14:paraId="377D4B84">
      <w:pPr>
        <w:spacing w:before="160" w:after="120"/>
      </w:pPr>
      <w:r>
        <w:rPr>
          <w:rFonts w:ascii="黑体" w:hAnsi="黑体" w:eastAsia="黑体"/>
          <w:b/>
          <w:sz w:val="24"/>
        </w:rPr>
        <w:t>（6）删除报表</w:t>
      </w:r>
    </w:p>
    <w:p w14:paraId="7967E5A7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仅"草稿"状态的报表可删除。</w:t>
      </w:r>
    </w:p>
    <w:p w14:paraId="1856FB7B">
      <w:pPr>
        <w:spacing w:before="160" w:after="120"/>
      </w:pPr>
      <w:r>
        <w:rPr>
          <w:rFonts w:ascii="黑体" w:hAnsi="黑体" w:eastAsia="黑体"/>
          <w:b/>
          <w:sz w:val="24"/>
        </w:rPr>
        <w:t>（7）查看审批链</w:t>
      </w:r>
    </w:p>
    <w:p w14:paraId="2FAA47D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已提交的报表可查看审批链，展示各级审批的状态、审批人、意见和时间。</w:t>
      </w:r>
    </w:p>
    <w:p w14:paraId="0743F659">
      <w:pPr>
        <w:spacing w:before="80" w:after="160"/>
        <w:jc w:val="center"/>
      </w:pPr>
      <w:r>
        <w:drawing>
          <wp:inline distT="0" distB="0" distL="114300" distR="114300">
            <wp:extent cx="5486400" cy="2256155"/>
            <wp:effectExtent l="0" t="0" r="0" b="1460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图32 审批链弹窗</w:t>
      </w:r>
    </w:p>
    <w:p w14:paraId="72376604">
      <w:pPr>
        <w:spacing w:before="240" w:after="160"/>
      </w:pPr>
      <w:r>
        <w:rPr>
          <w:rFonts w:ascii="黑体" w:hAnsi="黑体" w:eastAsia="黑体"/>
          <w:b/>
          <w:sz w:val="28"/>
        </w:rPr>
        <w:t>2、审批管理</w:t>
      </w:r>
    </w:p>
    <w:p w14:paraId="3F3FAD1F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（注：适用权限：report:approve）</w:t>
      </w:r>
    </w:p>
    <w:p w14:paraId="32230583">
      <w:pPr>
        <w:spacing w:before="160" w:after="120"/>
      </w:pPr>
      <w:r>
        <w:rPr>
          <w:rFonts w:ascii="黑体" w:hAnsi="黑体" w:eastAsia="黑体"/>
          <w:b/>
          <w:sz w:val="24"/>
        </w:rPr>
        <w:t>（1）待审批列表</w:t>
      </w:r>
    </w:p>
    <w:p w14:paraId="741FDAD7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点击报表管理—&gt;点击审批管理—&gt;进入审批管理页面，可查看待审批的报表列表。</w:t>
      </w:r>
    </w:p>
    <w:p w14:paraId="4F95DDE0">
      <w:pPr>
        <w:spacing w:before="80" w:after="160"/>
        <w:jc w:val="center"/>
      </w:pPr>
      <w:r>
        <w:drawing>
          <wp:inline distT="0" distB="0" distL="114300" distR="114300">
            <wp:extent cx="5473065" cy="992505"/>
            <wp:effectExtent l="0" t="0" r="13335" b="1333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99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图33 审批管理列表页</w:t>
      </w:r>
    </w:p>
    <w:p w14:paraId="0866A336">
      <w:pPr>
        <w:spacing w:before="160" w:after="120"/>
      </w:pPr>
      <w:r>
        <w:rPr>
          <w:rFonts w:ascii="黑体" w:hAnsi="黑体" w:eastAsia="黑体"/>
          <w:b/>
          <w:sz w:val="24"/>
        </w:rPr>
        <w:t>（2）审批操作</w:t>
      </w:r>
    </w:p>
    <w:p w14:paraId="66ED6633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通过：点击"通过"按钮—&gt;确认后审批通过。驳回：点击"驳回"按钮—&gt;填写驳回原因后确认。</w:t>
      </w:r>
    </w:p>
    <w:p w14:paraId="0708EACF">
      <w:pPr>
        <w:spacing w:before="80" w:after="160"/>
        <w:jc w:val="center"/>
      </w:pPr>
      <w:r>
        <w:drawing>
          <wp:inline distT="0" distB="0" distL="114300" distR="114300">
            <wp:extent cx="4000500" cy="2047875"/>
            <wp:effectExtent l="0" t="0" r="7620" b="952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图34 驳回原因弹窗</w:t>
      </w:r>
    </w:p>
    <w:p w14:paraId="595185AC">
      <w:pPr>
        <w:spacing w:before="240" w:after="160"/>
      </w:pPr>
      <w:r>
        <w:rPr>
          <w:rFonts w:ascii="黑体" w:hAnsi="黑体" w:eastAsia="黑体"/>
          <w:b/>
          <w:sz w:val="28"/>
        </w:rPr>
        <w:t>3、报表查询</w:t>
      </w:r>
    </w:p>
    <w:p w14:paraId="1A0C5F0B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（注：适用权限：report:view）</w:t>
      </w:r>
    </w:p>
    <w:p w14:paraId="6089854B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点击报表管理—&gt;点击报表查询—&gt;进入报表查询页面，可查询所有已提交的报表。可按报表类型、报表周期、状态筛选。点击"查看"按钮查看报表详情，点击"PDF"按钮在新窗口中打开报表的PDF版本。</w:t>
      </w:r>
    </w:p>
    <w:p w14:paraId="0BBC6203">
      <w:pPr>
        <w:spacing w:before="80" w:after="160"/>
        <w:jc w:val="center"/>
      </w:pPr>
      <w:r>
        <w:drawing>
          <wp:inline distT="0" distB="0" distL="114300" distR="114300">
            <wp:extent cx="5486400" cy="102870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图35 报表查询页</w:t>
      </w:r>
    </w:p>
    <w:p w14:paraId="73AFA5DF">
      <w:pPr>
        <w:spacing w:before="240" w:after="160"/>
      </w:pPr>
      <w:r>
        <w:rPr>
          <w:rFonts w:ascii="黑体" w:hAnsi="黑体" w:eastAsia="黑体"/>
          <w:b/>
          <w:sz w:val="28"/>
        </w:rPr>
        <w:t>4、数据看板</w:t>
      </w:r>
    </w:p>
    <w:p w14:paraId="62B484C0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（注：适用权限：report:dashboard）</w:t>
      </w:r>
    </w:p>
    <w:p w14:paraId="4B061660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点击报表管理—&gt;点击数据看板—&gt;进入数据看板页面，展示填报率、审批通过率、岗位类型看板（按研发/运维/客服分类统计）、逾期列表。</w:t>
      </w:r>
    </w:p>
    <w:p w14:paraId="3C56582B">
      <w:pPr>
        <w:spacing w:before="80" w:after="160"/>
        <w:jc w:val="center"/>
      </w:pPr>
      <w:r>
        <w:drawing>
          <wp:inline distT="0" distB="0" distL="114300" distR="114300">
            <wp:extent cx="5471160" cy="2376170"/>
            <wp:effectExtent l="0" t="0" r="0" b="127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图36 数据看板页</w:t>
      </w:r>
    </w:p>
    <w:p w14:paraId="38AB1016">
      <w:pPr>
        <w:spacing w:before="240" w:after="160"/>
      </w:pPr>
      <w:r>
        <w:rPr>
          <w:rFonts w:ascii="黑体" w:hAnsi="黑体" w:eastAsia="黑体"/>
          <w:b/>
          <w:sz w:val="28"/>
        </w:rPr>
        <w:t>5、逾期管理</w:t>
      </w:r>
    </w:p>
    <w:p w14:paraId="1A2EDAF9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（注：适用权限：report:overdue:manage）</w:t>
      </w:r>
    </w:p>
    <w:p w14:paraId="0281BA80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点击报表管理—&gt;点击逾期管理—&gt;进入逾期管理页面，可查看和管理逾期未填报的报表。点击"导出Excel"按钮可导出逾期列表。</w:t>
      </w:r>
    </w:p>
    <w:p w14:paraId="56D911C7">
      <w:pPr>
        <w:spacing w:before="80" w:after="160"/>
        <w:jc w:val="center"/>
      </w:pPr>
      <w:r>
        <w:drawing>
          <wp:inline distT="0" distB="0" distL="114300" distR="114300">
            <wp:extent cx="5472430" cy="1008380"/>
            <wp:effectExtent l="0" t="0" r="13970" b="1270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sz w:val="21"/>
        </w:rPr>
        <w:t>图37 逾期管理页</w:t>
      </w:r>
    </w:p>
    <w:p w14:paraId="2ACC0E9D">
      <w:pPr>
        <w:spacing w:before="360" w:after="200"/>
      </w:pPr>
      <w:r>
        <w:rPr>
          <w:rFonts w:ascii="黑体" w:hAnsi="黑体" w:eastAsia="黑体"/>
          <w:b/>
          <w:sz w:val="32"/>
        </w:rPr>
        <w:t>十一、统计分析</w:t>
      </w:r>
    </w:p>
    <w:p w14:paraId="2B79DEDB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（注：适用权限：statistics:customer）</w:t>
      </w:r>
    </w:p>
    <w:p w14:paraId="59610ACA">
      <w:pPr>
        <w:spacing w:before="240" w:after="160"/>
      </w:pPr>
      <w:r>
        <w:rPr>
          <w:rFonts w:ascii="黑体" w:hAnsi="黑体" w:eastAsia="黑体"/>
          <w:b/>
          <w:sz w:val="28"/>
        </w:rPr>
        <w:t>1、统计概览</w:t>
      </w:r>
    </w:p>
    <w:p w14:paraId="3D40FFB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点击左侧导航栏—&gt;点击统计分析—&gt;进入统计分析页面，包含四个统计标签页：客户统计、报修统计、拜访统计、合同统计。</w:t>
      </w:r>
    </w:p>
    <w:p w14:paraId="469B0B44">
      <w:pPr>
        <w:spacing w:before="120" w:after="40"/>
        <w:jc w:val="center"/>
      </w:pPr>
      <w:r>
        <w:rPr>
          <w:rFonts w:ascii="宋体" w:hAnsi="宋体" w:eastAsia="宋体"/>
          <w:color w:val="808080"/>
          <w:sz w:val="21"/>
        </w:rPr>
        <w:t>[截图位置：统计分析页-客户统计]</w:t>
      </w:r>
    </w:p>
    <w:p w14:paraId="31185612">
      <w:pPr>
        <w:spacing w:before="80" w:after="160"/>
        <w:jc w:val="center"/>
      </w:pPr>
      <w:r>
        <w:rPr>
          <w:rFonts w:ascii="宋体" w:hAnsi="宋体" w:eastAsia="宋体"/>
          <w:sz w:val="21"/>
        </w:rPr>
        <w:t>图38 统计分析页-客户统计</w:t>
      </w:r>
    </w:p>
    <w:p w14:paraId="27856C2D">
      <w:pPr>
        <w:spacing w:before="240" w:after="160"/>
      </w:pPr>
      <w:r>
        <w:rPr>
          <w:rFonts w:ascii="黑体" w:hAnsi="黑体" w:eastAsia="黑体"/>
          <w:b/>
          <w:sz w:val="28"/>
        </w:rPr>
        <w:t>2、时间筛选</w:t>
      </w:r>
    </w:p>
    <w:p w14:paraId="363CDDD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在页面顶部的筛选栏中—&gt;选择统计时间范围（开始日期至结束日期）—&gt;点击"查询"刷新数据—&gt;点击"重置"清空条件。</w:t>
      </w:r>
    </w:p>
    <w:p w14:paraId="1226D0E2">
      <w:pPr>
        <w:spacing w:before="240" w:after="160"/>
      </w:pPr>
      <w:r>
        <w:rPr>
          <w:rFonts w:ascii="黑体" w:hAnsi="黑体" w:eastAsia="黑体"/>
          <w:b/>
          <w:sz w:val="28"/>
        </w:rPr>
        <w:t>3、客户统计</w:t>
      </w:r>
    </w:p>
    <w:p w14:paraId="1A2F9959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统计指标：客户总数、有效客户、无效客户、有效占比。图表展示：有效客户的业务类型分布（柱状图）、合作状态分布（饼图）、区域分布（柱状图）、业务细分类分布（饼图）；无效客户的业务类型分布、合作状态分布、区域分布、业务细分类分布。</w:t>
      </w:r>
    </w:p>
    <w:p w14:paraId="734997D7">
      <w:pPr>
        <w:spacing w:before="240" w:after="160"/>
      </w:pPr>
      <w:r>
        <w:rPr>
          <w:rFonts w:ascii="黑体" w:hAnsi="黑体" w:eastAsia="黑体"/>
          <w:b/>
          <w:sz w:val="28"/>
        </w:rPr>
        <w:t>4、报修统计</w:t>
      </w:r>
    </w:p>
    <w:p w14:paraId="3A94A94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统计指标：报修总量、已解决、未处理、处理中、异常数、解决率。图表展示：报修月度趋势（折线图）、故障类型分布（饼图）、客户类型报修分布（柱状图）、高频报修客户TOP10（表格）。</w:t>
      </w:r>
    </w:p>
    <w:p w14:paraId="3E3533D8">
      <w:pPr>
        <w:spacing w:before="240" w:after="160"/>
      </w:pPr>
      <w:r>
        <w:rPr>
          <w:rFonts w:ascii="黑体" w:hAnsi="黑体" w:eastAsia="黑体"/>
          <w:b/>
          <w:sz w:val="28"/>
        </w:rPr>
        <w:t>5、拜访统计</w:t>
      </w:r>
    </w:p>
    <w:p w14:paraId="31C9067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统计指标：拜访总数、已完成、完成率、覆盖客户数、客户总数、覆盖率。图表展示：拜访人员统计（柱状图）、拜访方式分布（饼图）、拜访月度趋势（折线图）、客户类型拜访分布（柱状图）。</w:t>
      </w:r>
    </w:p>
    <w:p w14:paraId="052F7DB0">
      <w:pPr>
        <w:spacing w:before="240" w:after="160"/>
      </w:pPr>
      <w:r>
        <w:rPr>
          <w:rFonts w:ascii="黑体" w:hAnsi="黑体" w:eastAsia="黑体"/>
          <w:b/>
          <w:sz w:val="28"/>
        </w:rPr>
        <w:t>6、合同统计</w:t>
      </w:r>
    </w:p>
    <w:p w14:paraId="3D2A1D7E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统计指标：合同总数、已生效、已终止、履约率。图表展示：合同类型分布（饼图）、合同状态分布（饼图）、合同签订月度趋势（折线图）、营收月度趋势（柱状图）。</w:t>
      </w:r>
    </w:p>
    <w:p w14:paraId="6F97446D">
      <w:pPr>
        <w:spacing w:before="80" w:after="160"/>
        <w:jc w:val="center"/>
      </w:pPr>
      <w:r>
        <w:rPr>
          <w:rFonts w:ascii="宋体" w:hAnsi="宋体" w:eastAsia="宋体"/>
          <w:sz w:val="21"/>
        </w:rPr>
        <w:t>图43 合同统计图表</w:t>
      </w:r>
    </w:p>
    <w:p w14:paraId="5E5CE69C">
      <w:pPr>
        <w:spacing w:before="240" w:after="160"/>
      </w:pPr>
      <w:r>
        <w:rPr>
          <w:rFonts w:ascii="黑体" w:hAnsi="黑体" w:eastAsia="黑体"/>
          <w:b/>
          <w:sz w:val="28"/>
        </w:rPr>
        <w:t>7、导出统计</w:t>
      </w:r>
    </w:p>
    <w:p w14:paraId="334DD2C7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每个统计标签页均提供"导出Excel"按钮—&gt;点击可导出当前统计数据。</w:t>
      </w:r>
    </w:p>
    <w:p w14:paraId="3448B57E">
      <w:pPr>
        <w:spacing w:before="360" w:after="200"/>
      </w:pPr>
      <w:r>
        <w:rPr>
          <w:rFonts w:ascii="黑体" w:hAnsi="黑体" w:eastAsia="黑体"/>
          <w:b/>
          <w:sz w:val="32"/>
        </w:rPr>
        <w:t>十二、操作日志</w:t>
      </w:r>
    </w:p>
    <w:p w14:paraId="1B0D0BBE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（注：适用权限：log:list）</w:t>
      </w:r>
    </w:p>
    <w:p w14:paraId="0FD3FB3A">
      <w:pPr>
        <w:spacing w:before="240" w:after="160"/>
      </w:pPr>
      <w:r>
        <w:rPr>
          <w:rFonts w:ascii="黑体" w:hAnsi="黑体" w:eastAsia="黑体"/>
          <w:b/>
          <w:sz w:val="28"/>
        </w:rPr>
        <w:t>1、日志列表</w:t>
      </w:r>
    </w:p>
    <w:p w14:paraId="4230F05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点击左侧导航栏—&gt;点击操作日志—&gt;进入操作日志页面，可查看系统操作记录。统计卡片显示总记录数、今日操作、新增操作、删除操作次数。</w:t>
      </w:r>
    </w:p>
    <w:p w14:paraId="6330E9E9">
      <w:pPr>
        <w:spacing w:before="240" w:after="160"/>
      </w:pPr>
      <w:r>
        <w:rPr>
          <w:rFonts w:ascii="黑体" w:hAnsi="黑体" w:eastAsia="黑体"/>
          <w:b/>
          <w:sz w:val="28"/>
        </w:rPr>
        <w:t>2、筛选日志</w:t>
      </w:r>
    </w:p>
    <w:p w14:paraId="3FECEB7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筛选栏中按条件输入需查询信息：操作人（用户名/真实姓名）、操作类型（新增/修改/删除/查询/导出/导入/登录/其他）、操作模块（角色/员工/客户/合同/报修/跟进/租户）、操作时间（日期范围选择，支持快捷选项：今天、昨天、最近7天、最近30天、本月、上月）、IP地址（精确筛选）—&gt;点击"查询"按钮执行搜索。</w:t>
      </w:r>
    </w:p>
    <w:p w14:paraId="78DEF194">
      <w:pPr>
        <w:spacing w:before="240" w:after="160"/>
      </w:pPr>
      <w:r>
        <w:rPr>
          <w:rFonts w:ascii="黑体" w:hAnsi="黑体" w:eastAsia="黑体"/>
          <w:b/>
          <w:sz w:val="28"/>
        </w:rPr>
        <w:t>3、查看日志详情</w:t>
      </w:r>
    </w:p>
    <w:p w14:paraId="00016105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日志列表中的任意行或"详情"按钮—&gt;可查看操作详情：基本信息（操作人、操作类型、操作模块、操作状态、操作描述、请求方法、请求URL、IP地址、操作时间）、请求参数（展示请求参数的JSON格式，支持复制）。</w:t>
      </w:r>
    </w:p>
    <w:p w14:paraId="7A1A2D38">
      <w:pPr>
        <w:spacing w:before="240" w:after="160"/>
      </w:pPr>
      <w:r>
        <w:rPr>
          <w:rFonts w:ascii="黑体" w:hAnsi="黑体" w:eastAsia="黑体"/>
          <w:b/>
          <w:sz w:val="28"/>
        </w:rPr>
        <w:t>4、导出日志</w:t>
      </w:r>
    </w:p>
    <w:p w14:paraId="123ED61D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点击"导出日志"按钮—&gt;根据当前筛选条件导出日志为CSV文件。</w:t>
      </w:r>
    </w:p>
    <w:p w14:paraId="5947DA03">
      <w:pPr>
        <w:spacing w:before="360" w:after="200"/>
      </w:pPr>
      <w:r>
        <w:rPr>
          <w:rFonts w:ascii="黑体" w:hAnsi="黑体" w:eastAsia="黑体"/>
          <w:b/>
          <w:sz w:val="32"/>
        </w:rPr>
        <w:t>十三、数据备份</w:t>
      </w:r>
    </w:p>
    <w:p w14:paraId="2694F27C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（注：适用角色：超级管理员）</w:t>
      </w:r>
    </w:p>
    <w:p w14:paraId="001AE188">
      <w:pPr>
        <w:spacing w:before="240" w:after="160"/>
      </w:pPr>
      <w:r>
        <w:rPr>
          <w:rFonts w:ascii="黑体" w:hAnsi="黑体" w:eastAsia="黑体"/>
          <w:b/>
          <w:sz w:val="28"/>
        </w:rPr>
        <w:t>1、备份列表</w:t>
      </w:r>
    </w:p>
    <w:p w14:paraId="547176F4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点击左侧导航栏—&gt;点击数据备份—&gt;进入数据备份页面，可查看备份记录列表。统计卡片显示总备份数、成功备份、自动备份、手动备份数量。</w:t>
      </w:r>
    </w:p>
    <w:p w14:paraId="54BE064B">
      <w:pPr>
        <w:spacing w:before="80" w:after="160"/>
        <w:jc w:val="center"/>
      </w:pPr>
      <w:r>
        <w:rPr>
          <w:rFonts w:ascii="宋体" w:hAnsi="宋体" w:eastAsia="宋体"/>
          <w:sz w:val="21"/>
        </w:rPr>
        <w:t>图46 数据备份列表页</w:t>
      </w:r>
    </w:p>
    <w:p w14:paraId="65E1E426">
      <w:pPr>
        <w:spacing w:before="240" w:after="160"/>
      </w:pPr>
      <w:r>
        <w:rPr>
          <w:rFonts w:ascii="黑体" w:hAnsi="黑体" w:eastAsia="黑体"/>
          <w:b/>
          <w:sz w:val="28"/>
        </w:rPr>
        <w:t>2、手动备份</w:t>
      </w:r>
    </w:p>
    <w:p w14:paraId="18E2DADA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点击"立即备份"按钮—&gt;确认执行备份操作—&gt;备份完成后列表自动刷新。</w:t>
      </w:r>
    </w:p>
    <w:p w14:paraId="5A30B0CB">
      <w:pPr>
        <w:spacing w:before="240" w:after="160"/>
      </w:pPr>
      <w:r>
        <w:rPr>
          <w:rFonts w:ascii="黑体" w:hAnsi="黑体" w:eastAsia="黑体"/>
          <w:b/>
          <w:sz w:val="28"/>
        </w:rPr>
        <w:t>3、下载备份</w:t>
      </w:r>
    </w:p>
    <w:p w14:paraId="3C507CE8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在备份列表中—&gt;状态为"成功"的记录可点击"下载"按钮下载备份文件。</w:t>
      </w:r>
    </w:p>
    <w:p w14:paraId="788C6DE6">
      <w:pPr>
        <w:spacing w:before="240" w:after="160"/>
      </w:pPr>
      <w:r>
        <w:rPr>
          <w:rFonts w:ascii="黑体" w:hAnsi="黑体" w:eastAsia="黑体"/>
          <w:b/>
          <w:sz w:val="28"/>
        </w:rPr>
        <w:t>4、删除备份</w:t>
      </w:r>
    </w:p>
    <w:p w14:paraId="61B82A4C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在备份列表中—&gt;点击"删除"按钮—&gt;确认后删除备份记录和文件。</w:t>
      </w:r>
    </w:p>
    <w:p w14:paraId="00D5F549">
      <w:pPr>
        <w:spacing w:line="440" w:lineRule="exact"/>
        <w:ind w:firstLine="420"/>
      </w:pPr>
      <w:r>
        <w:rPr>
          <w:rFonts w:ascii="宋体" w:hAnsi="宋体" w:eastAsia="宋体"/>
          <w:color w:val="FF0000"/>
          <w:sz w:val="24"/>
        </w:rPr>
        <w:t>（注：备份删除后不可恢复，请谨慎操作。）</w:t>
      </w:r>
    </w:p>
    <w:p w14:paraId="2AC0A6CF">
      <w:pPr>
        <w:spacing w:before="360" w:after="200"/>
      </w:pPr>
      <w:r>
        <w:rPr>
          <w:rFonts w:ascii="黑体" w:hAnsi="黑体" w:eastAsia="黑体"/>
          <w:b/>
          <w:sz w:val="32"/>
        </w:rPr>
        <w:t>十四、附录：权限说明</w:t>
      </w:r>
    </w:p>
    <w:p w14:paraId="3A9C8809">
      <w:pPr>
        <w:spacing w:before="240" w:after="160"/>
      </w:pPr>
      <w:r>
        <w:rPr>
          <w:rFonts w:ascii="黑体" w:hAnsi="黑体" w:eastAsia="黑体"/>
          <w:b/>
          <w:sz w:val="28"/>
        </w:rPr>
        <w:t>1、权限继承规则</w:t>
      </w:r>
    </w:p>
    <w:p w14:paraId="2940A068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超级管理员拥有全部权限，不受限制；租户管理员只能分配不超出自己权限范围的权限给下级角色；权限校验在前端（菜单显示、按钮控制）和后端（接口鉴权）双重执行。</w:t>
      </w:r>
    </w:p>
    <w:p w14:paraId="59173410">
      <w:pPr>
        <w:spacing w:before="240" w:after="160"/>
      </w:pPr>
      <w:r>
        <w:rPr>
          <w:rFonts w:ascii="黑体" w:hAnsi="黑体" w:eastAsia="黑体"/>
          <w:b/>
          <w:sz w:val="28"/>
        </w:rPr>
        <w:t>2、前端权限控制</w:t>
      </w:r>
    </w:p>
    <w:p w14:paraId="66EC96B3">
      <w:pPr>
        <w:spacing w:line="440" w:lineRule="exact"/>
        <w:ind w:firstLine="420"/>
      </w:pPr>
      <w:r>
        <w:rPr>
          <w:rFonts w:ascii="宋体" w:hAnsi="宋体" w:eastAsia="宋体"/>
          <w:sz w:val="24"/>
        </w:rPr>
        <w:t>系统使用v-permission自定义指令控制按钮级别的权限显示，无权限的按钮自动隐藏。例如：无customer:add权限的用户看不到"新增客户"按钮；无repair:assign权限的用户看不到"分配"按钮。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831728"/>
    <w:rsid w:val="1130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5" Type="http://schemas.openxmlformats.org/officeDocument/2006/relationships/fontTable" Target="fontTable.xml"/><Relationship Id="rId44" Type="http://schemas.openxmlformats.org/officeDocument/2006/relationships/customXml" Target="../customXml/item1.xml"/><Relationship Id="rId43" Type="http://schemas.openxmlformats.org/officeDocument/2006/relationships/numbering" Target="numbering.xml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6976</Words>
  <Characters>7279</Characters>
  <Lines>0</Lines>
  <Paragraphs>0</Paragraphs>
  <TotalTime>38</TotalTime>
  <ScaleCrop>false</ScaleCrop>
  <LinksUpToDate>false</LinksUpToDate>
  <CharactersWithSpaces>7319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yyczlxz</cp:lastModifiedBy>
  <dcterms:modified xsi:type="dcterms:W3CDTF">2026-06-04T05:45:44Z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eyJoZGlkIjoiOGNiNjgxY2RlYjAwYjA1NGIyYjlhOTlkODkwNzYxN2IiLCJ1c2VySWQiOiIxNDUxMTc3MTY2In0=</vt:lpwstr>
  </property>
  <property fmtid="{D5CDD505-2E9C-101B-9397-08002B2CF9AE}" pid="3" name="KSOProductBuildVer">
    <vt:lpwstr>2052-12.1.0.26375</vt:lpwstr>
  </property>
  <property fmtid="{D5CDD505-2E9C-101B-9397-08002B2CF9AE}" pid="4" name="ICV">
    <vt:lpwstr>CFC1EF21957944C0A346BEE4993141A2_12</vt:lpwstr>
  </property>
</Properties>
</file>