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1982C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一、系统概述</w:t>
      </w:r>
    </w:p>
    <w:p w14:paraId="1BB782EB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本系统采用三层账户体系，各层级职责清晰、权限分明：</w:t>
      </w:r>
    </w:p>
    <w:p w14:paraId="02BB124F">
      <w:pPr>
        <w:spacing w:before="60" w:after="6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超级管理员</w:t>
      </w: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 xml:space="preserve"> → 租户管理员 → 员工 → 业务数据</w:t>
      </w:r>
    </w:p>
    <w:p w14:paraId="24286FF6">
      <w:pPr>
        <w:spacing w:before="100" w:after="100"/>
      </w:pPr>
    </w:p>
    <w:p w14:paraId="0274434E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默认账户信息：</w:t>
      </w:r>
    </w:p>
    <w:p w14:paraId="143F81F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4"/>
          <w:szCs w:val="24"/>
        </w:rPr>
        <w:t>用户名：admin</w:t>
      </w:r>
    </w:p>
    <w:p w14:paraId="4D91C031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4"/>
          <w:szCs w:val="24"/>
        </w:rPr>
        <w:t>密码：123456</w:t>
      </w:r>
    </w:p>
    <w:p w14:paraId="64FC270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4"/>
          <w:szCs w:val="24"/>
        </w:rPr>
        <w:t>角色：超级管理员</w:t>
      </w:r>
    </w:p>
    <w:p w14:paraId="03FC6703">
      <w:pPr>
        <w:spacing w:before="100" w:after="100"/>
      </w:pPr>
    </w:p>
    <w:p w14:paraId="2FC1E7BE">
      <w:pPr>
        <w:spacing w:before="60" w:after="60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超级管理员拥有全部权限，可管理所有租户，不受数据隔离限制；租户管理员管理本租户内的角色、员工和业务数据；普通员工根据分配的角色权限操作业务数据。</w:t>
      </w:r>
    </w:p>
    <w:p w14:paraId="28FE6ACC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二、登录系统</w:t>
      </w:r>
    </w:p>
    <w:p w14:paraId="76EF3EA3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1、登录页面</w:t>
      </w:r>
    </w:p>
    <w:p w14:paraId="3392C066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打开浏览器，访问系统地址，即可进入登录页面。登录页面包含系统Logo、系统名称、用户名输入框、密码输入框和登录按钮。</w:t>
      </w:r>
    </w:p>
    <w:p w14:paraId="4ACDA4D0">
      <w:pPr>
        <w:spacing w:before="100" w:after="100"/>
      </w:pPr>
    </w:p>
    <w:p w14:paraId="3B1AF5B6">
      <w:pPr>
        <w:spacing w:before="100" w:after="100"/>
        <w:jc w:val="center"/>
      </w:pPr>
      <w:r>
        <w:drawing>
          <wp:inline distT="0" distB="0" distL="0" distR="0">
            <wp:extent cx="4762500" cy="42767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36A9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图1 登录页面</w:t>
      </w:r>
    </w:p>
    <w:p w14:paraId="47045197">
      <w:pPr>
        <w:spacing w:before="100" w:after="100"/>
      </w:pPr>
    </w:p>
    <w:p w14:paraId="014FBCED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2、登录步骤</w:t>
      </w:r>
    </w:p>
    <w:p w14:paraId="258B2C54">
      <w:pPr>
        <w:spacing w:before="40" w:after="40"/>
      </w:pPr>
      <w:r>
        <w:rPr>
          <w:rFonts w:ascii="微软雅黑" w:hAnsi="微软雅黑" w:eastAsia="微软雅黑" w:cs="微软雅黑"/>
          <w:sz w:val="24"/>
          <w:szCs w:val="24"/>
        </w:rPr>
        <w:t>1、在用户名输入框中输入用户名</w:t>
      </w:r>
    </w:p>
    <w:p w14:paraId="46048CB5">
      <w:pPr>
        <w:spacing w:before="40" w:after="40"/>
      </w:pPr>
      <w:r>
        <w:rPr>
          <w:rFonts w:ascii="微软雅黑" w:hAnsi="微软雅黑" w:eastAsia="微软雅黑" w:cs="微软雅黑"/>
          <w:sz w:val="24"/>
          <w:szCs w:val="24"/>
        </w:rPr>
        <w:t>2、在密码输入框中输入密码</w:t>
      </w:r>
    </w:p>
    <w:p w14:paraId="249B3A2C">
      <w:pPr>
        <w:spacing w:before="40" w:after="40"/>
      </w:pPr>
      <w:r>
        <w:rPr>
          <w:rFonts w:ascii="微软雅黑" w:hAnsi="微软雅黑" w:eastAsia="微软雅黑" w:cs="微软雅黑"/>
          <w:sz w:val="24"/>
          <w:szCs w:val="24"/>
        </w:rPr>
        <w:t>3、点击“登录”按钮</w:t>
      </w:r>
    </w:p>
    <w:p w14:paraId="6A7E4D05">
      <w:pPr>
        <w:spacing w:before="40" w:after="40"/>
      </w:pPr>
      <w:r>
        <w:rPr>
          <w:rFonts w:ascii="微软雅黑" w:hAnsi="微软雅黑" w:eastAsia="微软雅黑" w:cs="微软雅黑"/>
          <w:sz w:val="24"/>
          <w:szCs w:val="24"/>
        </w:rPr>
        <w:t>4、登录成功后自动跳转至系统首页</w:t>
      </w:r>
    </w:p>
    <w:p w14:paraId="478B2958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3、登录提醒</w:t>
      </w:r>
    </w:p>
    <w:p w14:paraId="2564853A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登录后系统会自动检测待办提醒事项，如果存在待办事项，则会弹窗提醒用户。</w:t>
      </w:r>
    </w:p>
    <w:p w14:paraId="3714FEF4">
      <w:pPr>
        <w:spacing w:before="60" w:after="60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请及时处理登录提醒中的待办事项。</w:t>
      </w:r>
    </w:p>
    <w:p w14:paraId="6F17A838">
      <w:pPr>
        <w:spacing w:before="100" w:after="100"/>
      </w:pPr>
    </w:p>
    <w:p w14:paraId="36850D61">
      <w:pPr>
        <w:spacing w:before="100" w:after="100"/>
        <w:jc w:val="center"/>
      </w:pPr>
      <w:r>
        <w:drawing>
          <wp:inline distT="0" distB="0" distL="0" distR="0">
            <wp:extent cx="4762500" cy="42767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B6B3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图2 登录提醒弹窗</w:t>
      </w:r>
    </w:p>
    <w:p w14:paraId="6B34A09D">
      <w:pPr>
        <w:spacing w:before="100" w:after="100"/>
      </w:pPr>
    </w:p>
    <w:p w14:paraId="314AFEB0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三、系统首页</w:t>
      </w:r>
    </w:p>
    <w:p w14:paraId="6594EB86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1、首页概览</w:t>
      </w:r>
    </w:p>
    <w:p w14:paraId="19D282AA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系统首页展示以下内容：欢迎卡片、用户信息卡片、功能介绍以及快速入口，帮助用户快速了解系统并进入常用功能。</w:t>
      </w:r>
    </w:p>
    <w:p w14:paraId="644FB0EC">
      <w:pPr>
        <w:spacing w:before="100" w:after="100"/>
      </w:pPr>
    </w:p>
    <w:p w14:paraId="6B56A74B">
      <w:pPr>
        <w:spacing w:before="100" w:after="100"/>
        <w:jc w:val="center"/>
      </w:pPr>
      <w:r>
        <w:drawing>
          <wp:inline distT="0" distB="0" distL="114300" distR="114300">
            <wp:extent cx="5723890" cy="2954655"/>
            <wp:effectExtent l="0" t="0" r="6350" b="190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6E72F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图3 系统首页</w:t>
      </w:r>
    </w:p>
    <w:p w14:paraId="56F8FCC6">
      <w:pPr>
        <w:spacing w:before="100" w:after="100"/>
      </w:pPr>
    </w:p>
    <w:p w14:paraId="5F5A8E18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2、侧边栏导航</w:t>
      </w:r>
    </w:p>
    <w:p w14:paraId="03D2652E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页面左侧为可折叠菜单导航栏，菜单项根据当前用户权限动态显示。拥有对应权限的功能菜单才会出现。</w:t>
      </w:r>
    </w:p>
    <w:p w14:paraId="0AEEDB61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3、顶部导航栏</w:t>
      </w:r>
    </w:p>
    <w:p w14:paraId="56D6B0C6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页面顶部导航栏显示当前页面标题、用户信息以及退出登录按钮，方便用户快速切换或退出系统。</w:t>
      </w:r>
    </w:p>
    <w:p w14:paraId="6221385B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四、租户管理</w:t>
      </w:r>
    </w:p>
    <w:p w14:paraId="264E7408">
      <w:pPr>
        <w:spacing w:before="60" w:after="60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适用角色：超级管理员</w:t>
      </w:r>
    </w:p>
    <w:p w14:paraId="083FE252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1、租户列表</w:t>
      </w:r>
    </w:p>
    <w:p w14:paraId="4CD3BC11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进入租户管理页面，可查看系统内所有租户的列表信息。</w:t>
      </w:r>
    </w:p>
    <w:p w14:paraId="64E16B63">
      <w:pPr>
        <w:spacing w:before="100" w:after="100"/>
      </w:pPr>
    </w:p>
    <w:p w14:paraId="4458143A">
      <w:pPr>
        <w:spacing w:before="100" w:after="100"/>
        <w:jc w:val="center"/>
      </w:pPr>
      <w:r>
        <w:drawing>
          <wp:inline distT="0" distB="0" distL="114300" distR="114300">
            <wp:extent cx="5727700" cy="3230245"/>
            <wp:effectExtent l="0" t="0" r="2540" b="63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5786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图4 租户管理列表页</w:t>
      </w:r>
    </w:p>
    <w:p w14:paraId="2AF728F8">
      <w:pPr>
        <w:spacing w:before="100" w:after="100"/>
      </w:pPr>
    </w:p>
    <w:p w14:paraId="39CFD809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2、搜索租户</w:t>
      </w:r>
    </w:p>
    <w:p w14:paraId="517BC678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在搜索区域输入租户名称或编码，点击“查询”按钮进行筛选；点击“重置”按钮可清空搜索条件，恢复显示全部租户。</w:t>
      </w:r>
    </w:p>
    <w:p w14:paraId="64287830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3、创建租户</w:t>
      </w:r>
    </w:p>
    <w:p w14:paraId="7808B8F8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点击“创建公司”按钮，弹出创建租户表单，填写租户相关信息后确认创建。</w:t>
      </w:r>
    </w:p>
    <w:p w14:paraId="7BC58CD6">
      <w:pPr>
        <w:spacing w:before="60" w:after="60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创建后请记录管理员账号和密码，该信息仅显示一次，请妥善保管。</w:t>
      </w:r>
    </w:p>
    <w:p w14:paraId="07971635">
      <w:pPr>
        <w:spacing w:before="100" w:after="100"/>
      </w:pPr>
    </w:p>
    <w:p w14:paraId="138993AB">
      <w:pPr>
        <w:spacing w:before="100" w:after="100"/>
        <w:jc w:val="center"/>
      </w:pPr>
      <w:r>
        <w:drawing>
          <wp:inline distT="0" distB="0" distL="0" distR="0">
            <wp:extent cx="4762500" cy="42767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51D9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图5 创建租户弹窗</w:t>
      </w:r>
    </w:p>
    <w:p w14:paraId="7E2A61A6">
      <w:pPr>
        <w:spacing w:before="100" w:after="100"/>
      </w:pPr>
    </w:p>
    <w:p w14:paraId="4AC2CEA2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4、启用/禁用租户</w:t>
      </w:r>
    </w:p>
    <w:p w14:paraId="777903AB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在租户列表中可切换租户的启用/禁用状态。</w:t>
      </w:r>
    </w:p>
    <w:p w14:paraId="42351FB2">
      <w:pPr>
        <w:spacing w:before="60" w:after="60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禁用租户后，该租户下的所有用户将无法登录系统。</w:t>
      </w:r>
    </w:p>
    <w:p w14:paraId="75C2A76E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五、角色管理</w:t>
      </w:r>
    </w:p>
    <w:p w14:paraId="6AA50BBD">
      <w:pPr>
        <w:spacing w:before="60" w:after="60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适用角色：超级管理员</w:t>
      </w:r>
    </w:p>
    <w:p w14:paraId="1648581F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1、角色列表</w:t>
      </w:r>
    </w:p>
    <w:p w14:paraId="38D29367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进入角色管理页面，查看所有角色及其关联用户数等统计信息。</w:t>
      </w:r>
    </w:p>
    <w:p w14:paraId="27E0EB05">
      <w:pPr>
        <w:spacing w:before="100" w:after="100"/>
      </w:pPr>
    </w:p>
    <w:p w14:paraId="2862A0D9">
      <w:pPr>
        <w:spacing w:before="100" w:after="100"/>
        <w:jc w:val="center"/>
      </w:pPr>
      <w:r>
        <w:drawing>
          <wp:inline distT="0" distB="0" distL="114300" distR="114300">
            <wp:extent cx="5724525" cy="3222625"/>
            <wp:effectExtent l="0" t="0" r="5715" b="825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2145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图6 角色管理列表页</w:t>
      </w:r>
    </w:p>
    <w:p w14:paraId="529F63C3">
      <w:pPr>
        <w:spacing w:before="100" w:after="100"/>
      </w:pPr>
    </w:p>
    <w:p w14:paraId="19C33E0F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2、新增角色</w:t>
      </w:r>
    </w:p>
    <w:p w14:paraId="3859CA5F">
      <w:pPr>
        <w:spacing w:before="60" w:after="60"/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点击“新增角色”按钮，填写角色名称和描述，在权限树中勾选所需的权限，确认后完成创建。</w:t>
      </w:r>
    </w:p>
    <w:p w14:paraId="577B492F">
      <w:pPr>
        <w:spacing w:before="60" w:after="60"/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drawing>
          <wp:inline distT="0" distB="0" distL="114300" distR="114300">
            <wp:extent cx="5729605" cy="6528435"/>
            <wp:effectExtent l="0" t="0" r="635" b="9525"/>
            <wp:docPr id="3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652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DB1099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3、编辑角色</w:t>
      </w:r>
    </w:p>
    <w:p w14:paraId="4DDF1FD7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点击已有角色的编辑按钮，可修改角色名称、描述或重新调整权限配置。</w:t>
      </w:r>
    </w:p>
    <w:p w14:paraId="2443CBF3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4、复制角色</w:t>
      </w:r>
    </w:p>
    <w:p w14:paraId="25DFB591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点击复制按钮，系统将自动复制该角色的所有权限配置，输入新角色名称即可快速创建相似权限的角色。</w:t>
      </w:r>
    </w:p>
    <w:p w14:paraId="739208A7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5、删除角色</w:t>
      </w:r>
    </w:p>
    <w:p w14:paraId="3D966046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点击删除按钮后，系统将显示该角色关联的用户数量，确认后执行删除操作。</w:t>
      </w:r>
    </w:p>
    <w:p w14:paraId="00F4E6D4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6、查看角色详情</w:t>
      </w:r>
    </w:p>
    <w:p w14:paraId="1034166B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在角色列表中点击某行，可查看该角色的详细信息，包括权限配置和关联用户列表。</w:t>
      </w:r>
    </w:p>
    <w:p w14:paraId="3E9315A6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六、员工管理</w:t>
      </w:r>
    </w:p>
    <w:p w14:paraId="02B3F82B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1、员工列表</w:t>
      </w:r>
    </w:p>
    <w:p w14:paraId="6319FDBB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进入员工管理页面，查看当前租户下的所有员工列表信息，包含姓名、账号、角色、状态等。</w:t>
      </w:r>
    </w:p>
    <w:p w14:paraId="70A016B0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2、搜索员工</w:t>
      </w:r>
    </w:p>
    <w:p w14:paraId="1905646C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在搜索区域输入员工姓名或账号等关键词，点击查询进行筛选；点击重置可清空条件。</w:t>
      </w:r>
    </w:p>
    <w:p w14:paraId="42B962A6">
      <w:pPr>
        <w:pStyle w:val="3"/>
        <w:spacing w:before="200" w:after="15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3、新增员工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租户管理员需申请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  <w:t>）</w:t>
      </w:r>
    </w:p>
    <w:p w14:paraId="72FE6B83">
      <w:pPr>
        <w:spacing w:before="60" w:after="60"/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点击“新增员工”按钮，填写员工姓名、账号、密码、手机号等信息，并分配角色，确认后完成创建</w:t>
      </w:r>
    </w:p>
    <w:p w14:paraId="4F45EC23">
      <w:pPr>
        <w:spacing w:before="60" w:after="60"/>
      </w:pPr>
      <w:r>
        <w:drawing>
          <wp:inline distT="0" distB="0" distL="114300" distR="114300">
            <wp:extent cx="5730875" cy="5695950"/>
            <wp:effectExtent l="0" t="0" r="14605" b="3810"/>
            <wp:docPr id="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。</w:t>
      </w:r>
    </w:p>
    <w:p w14:paraId="44519F3B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4、编辑员工</w:t>
      </w:r>
    </w:p>
    <w:p w14:paraId="178B7777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点击编辑按钮，可修改员工的基本信息和角色分配。</w:t>
      </w:r>
    </w:p>
    <w:p w14:paraId="5352A46B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5、重置密码</w:t>
      </w:r>
    </w:p>
    <w:p w14:paraId="4A6AB635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点击重置密码按钮，可将员工密码重置为默认密码。</w:t>
      </w:r>
    </w:p>
    <w:p w14:paraId="6283EAAF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6、启用/禁用员工</w:t>
      </w:r>
    </w:p>
    <w:p w14:paraId="0711F5A2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可切换员工的启用/禁用状态。禁用后该员工无法登录系统。</w:t>
      </w:r>
    </w:p>
    <w:p w14:paraId="3AA14AB3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7、删除员工</w:t>
      </w:r>
    </w:p>
    <w:p w14:paraId="4FDA8447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点击删除按钮，确认后可删除该员工账号。</w:t>
      </w:r>
    </w:p>
    <w:p w14:paraId="572EEF34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8、员工申请审核</w:t>
      </w:r>
    </w:p>
    <w:p w14:paraId="3DCE2012">
      <w:pPr>
        <w:spacing w:before="60" w:after="60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适用角色：超级管理员</w:t>
      </w:r>
    </w:p>
    <w:p w14:paraId="11E28273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（1）查看申请列表：点击“申请审核”按钮，弹窗中显示待审核的员工申请列表。</w:t>
      </w:r>
    </w:p>
    <w:p w14:paraId="7D62B107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（2）审核申请：点击某条申请的“审核”按钮，查看申请人详情（含资质证书），选择通过或拒绝并确认。</w:t>
      </w:r>
    </w:p>
    <w:p w14:paraId="7DB819E1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（3）批量审核：勾选多条申请后点击“批量审核”，统一选择通过或拒绝并确认。</w:t>
      </w:r>
    </w:p>
    <w:p w14:paraId="1228A749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（4）申请状态：申请共有以下状态——待审核、已通过、已拒绝、已撤销。</w:t>
      </w:r>
    </w:p>
    <w:p w14:paraId="55328C23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七、客户管理</w:t>
      </w:r>
    </w:p>
    <w:p w14:paraId="2B49E815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1、客户列表</w:t>
      </w:r>
    </w:p>
    <w:p w14:paraId="011BAFB4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进入客户管理页面，查看所有客户信息列表。</w:t>
      </w:r>
    </w:p>
    <w:p w14:paraId="449ABD16">
      <w:pPr>
        <w:spacing w:before="100" w:after="100"/>
      </w:pPr>
    </w:p>
    <w:p w14:paraId="711F7A17">
      <w:pPr>
        <w:spacing w:before="100" w:after="100"/>
        <w:jc w:val="center"/>
      </w:pPr>
      <w:r>
        <w:drawing>
          <wp:inline distT="0" distB="0" distL="114300" distR="114300">
            <wp:extent cx="5730875" cy="3102610"/>
            <wp:effectExtent l="0" t="0" r="14605" b="635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789F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图7 客户管理列表页</w:t>
      </w:r>
    </w:p>
    <w:p w14:paraId="77B5DE48">
      <w:pPr>
        <w:spacing w:before="100" w:after="100"/>
      </w:pPr>
    </w:p>
    <w:p w14:paraId="12B33F54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2、筛选客户</w:t>
      </w:r>
    </w:p>
    <w:p w14:paraId="4CD052DD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支持按客户名称、联系人、状态等条件筛选客户列表。</w:t>
      </w:r>
    </w:p>
    <w:p w14:paraId="554E93C9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3、新增客户</w:t>
      </w:r>
    </w:p>
    <w:p w14:paraId="3D050BFE">
      <w:pPr>
        <w:spacing w:before="60" w:after="60"/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点击“新增客户”按钮，填写客户名称、联系人、联系电话、地址等信息，确认后创建。</w:t>
      </w:r>
    </w:p>
    <w:p w14:paraId="402ACDA7">
      <w:pPr>
        <w:spacing w:before="60" w:after="60"/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drawing>
          <wp:inline distT="0" distB="0" distL="114300" distR="114300">
            <wp:extent cx="5728970" cy="5112385"/>
            <wp:effectExtent l="0" t="0" r="1270" b="8255"/>
            <wp:docPr id="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511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A9B8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4、编辑客户</w:t>
      </w:r>
    </w:p>
    <w:p w14:paraId="4B593C51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点击编辑按钮，可修改客户的基本信息。</w:t>
      </w:r>
    </w:p>
    <w:p w14:paraId="25F10FE9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5、查看客户详情</w:t>
      </w:r>
    </w:p>
    <w:p w14:paraId="528082B5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点击客户行或查看详情按钮，查看客户的完整信息，包含基本信息、合同、报修记录等。</w:t>
      </w:r>
    </w:p>
    <w:p w14:paraId="24075C56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6、附件管理</w:t>
      </w:r>
    </w:p>
    <w:p w14:paraId="5A2F0AEE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支持为客户上传和管理相关附件文件。</w:t>
      </w:r>
    </w:p>
    <w:p w14:paraId="5C862660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7、跟进记录</w:t>
      </w:r>
    </w:p>
    <w:p w14:paraId="5A57A882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可查看和添加客户的跟进记录，记录沟通情况和业务进展。</w:t>
      </w:r>
    </w:p>
    <w:p w14:paraId="07A7296D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8、客户导入导出</w:t>
      </w:r>
    </w:p>
    <w:p w14:paraId="707CB7CE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支持通过Excel文件批量导入客户数据，也可将客户列表导出为Excel文件。</w:t>
      </w:r>
    </w:p>
    <w:p w14:paraId="4FC7960B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9、公共客户池</w:t>
      </w:r>
    </w:p>
    <w:p w14:paraId="786E0732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未分配跟进人的客户将进入公共客户池，管理员可将公共客户池中的客户分配给销售人员。</w:t>
      </w:r>
    </w:p>
    <w:p w14:paraId="3FD854C2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10、客户分配与转移</w:t>
      </w:r>
    </w:p>
    <w:p w14:paraId="55867D84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支持客户的分配、转移和回收操作，便于灵活管理客户归属。</w:t>
      </w:r>
    </w:p>
    <w:p w14:paraId="0B429B8F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11、标记无效与恢复</w:t>
      </w:r>
    </w:p>
    <w:p w14:paraId="122A2A63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可将无效客户标记为无效状态，也可将已标记无效的客户恢复为正常状态。</w:t>
      </w:r>
    </w:p>
    <w:p w14:paraId="43FFFDC1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八、合同管理</w:t>
      </w:r>
    </w:p>
    <w:p w14:paraId="426F0F5A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1、合同列表</w:t>
      </w:r>
    </w:p>
    <w:p w14:paraId="2F0ACE18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进入合同管理页面，查看所有合同信息列表。</w:t>
      </w:r>
    </w:p>
    <w:p w14:paraId="456EAAE7">
      <w:pPr>
        <w:spacing w:before="100" w:after="100"/>
      </w:pPr>
    </w:p>
    <w:p w14:paraId="1755FEA4">
      <w:pPr>
        <w:spacing w:before="100" w:after="100"/>
        <w:jc w:val="center"/>
      </w:pPr>
      <w:r>
        <w:drawing>
          <wp:inline distT="0" distB="0" distL="114300" distR="114300">
            <wp:extent cx="5727700" cy="3230245"/>
            <wp:effectExtent l="0" t="0" r="2540" b="63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8E29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图8 合同管理列表页</w:t>
      </w:r>
    </w:p>
    <w:p w14:paraId="36A7C29E">
      <w:pPr>
        <w:spacing w:before="100" w:after="100"/>
      </w:pPr>
    </w:p>
    <w:p w14:paraId="2EB4AE31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2、筛选合同</w:t>
      </w:r>
    </w:p>
    <w:p w14:paraId="40E3AAB9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支持按合同名称、客户、状态等条件筛选合同列表。</w:t>
      </w:r>
    </w:p>
    <w:p w14:paraId="38A2ACBA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3、新增合同</w:t>
      </w:r>
    </w:p>
    <w:p w14:paraId="3DD45F61">
      <w:pPr>
        <w:spacing w:before="60" w:after="60"/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点击“新增合同”按钮，填写合同名称、关联客户、合同金额、开始日期、结束日期等信息，确认后创建。</w:t>
      </w:r>
    </w:p>
    <w:p w14:paraId="6DD6DA5B">
      <w:pPr>
        <w:spacing w:before="60" w:after="60"/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drawing>
          <wp:inline distT="0" distB="0" distL="114300" distR="114300">
            <wp:extent cx="5729605" cy="4706620"/>
            <wp:effectExtent l="0" t="0" r="635" b="2540"/>
            <wp:docPr id="3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F56A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4、编辑合同</w:t>
      </w:r>
    </w:p>
    <w:p w14:paraId="36240CF0">
      <w:pPr>
        <w:spacing w:before="60" w:after="60"/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点击编辑按钮，可修改合同的基本信息。</w:t>
      </w:r>
    </w:p>
    <w:p w14:paraId="43918909">
      <w:pPr>
        <w:spacing w:before="60" w:after="60"/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drawing>
          <wp:inline distT="0" distB="0" distL="114300" distR="114300">
            <wp:extent cx="5727700" cy="3282315"/>
            <wp:effectExtent l="0" t="0" r="2540" b="9525"/>
            <wp:docPr id="3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D0ED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5、查看合同详情</w:t>
      </w:r>
    </w:p>
    <w:p w14:paraId="3D1B76AD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点击合同行或查看详情按钮，查看合同的完整信息。</w:t>
      </w:r>
    </w:p>
    <w:p w14:paraId="18FDACF5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6、删除合同</w:t>
      </w:r>
    </w:p>
    <w:p w14:paraId="1B06956C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点击删除按钮，确认后可删除该合同。</w:t>
      </w:r>
    </w:p>
    <w:p w14:paraId="7EA13C36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7、导出合同</w:t>
      </w:r>
    </w:p>
    <w:p w14:paraId="78893EA2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支持将合同列表导出为Excel文件。</w:t>
      </w:r>
    </w:p>
    <w:p w14:paraId="17512BFA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8、合同到期提醒</w:t>
      </w:r>
    </w:p>
    <w:p w14:paraId="6552823C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系统在用户登录时会自动检测即将到期的合同，通过弹窗提醒。用户可查看待处理的到期提醒，并标记提醒为已读或已处理状态。</w:t>
      </w:r>
    </w:p>
    <w:p w14:paraId="751E4D2A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九、报修管理</w:t>
      </w:r>
    </w:p>
    <w:p w14:paraId="7A5CC2FC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1、报修列表</w:t>
      </w:r>
    </w:p>
    <w:p w14:paraId="0A3BB520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进入报修管理页面，查看所有报修工单列表。</w:t>
      </w:r>
    </w:p>
    <w:p w14:paraId="1CD0B229">
      <w:pPr>
        <w:spacing w:before="100" w:after="100"/>
      </w:pPr>
    </w:p>
    <w:p w14:paraId="50CAFAEA">
      <w:pPr>
        <w:spacing w:before="100" w:after="100"/>
        <w:jc w:val="center"/>
      </w:pPr>
      <w:r>
        <w:drawing>
          <wp:inline distT="0" distB="0" distL="114300" distR="114300">
            <wp:extent cx="5723890" cy="3220085"/>
            <wp:effectExtent l="0" t="0" r="6350" b="1079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390AF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图9 报修管理列表页</w:t>
      </w:r>
    </w:p>
    <w:p w14:paraId="7E1136D2">
      <w:pPr>
        <w:spacing w:before="100" w:after="100"/>
      </w:pPr>
    </w:p>
    <w:p w14:paraId="10FDB773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2、筛选报修</w:t>
      </w:r>
    </w:p>
    <w:p w14:paraId="2DD41F5B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支持按报修标题、状态、优先级等条件筛选报修列表。</w:t>
      </w:r>
    </w:p>
    <w:p w14:paraId="78C311E5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3、新增报修</w:t>
      </w:r>
    </w:p>
    <w:p w14:paraId="4C5B7777">
      <w:pPr>
        <w:spacing w:before="60" w:after="60"/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点击“新增报修”按钮，填写报修标题、描述、报修位置、紧急程度等信息，确认后提交工单。</w:t>
      </w:r>
    </w:p>
    <w:p w14:paraId="2D7CC2D0">
      <w:pPr>
        <w:spacing w:before="60" w:after="60"/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drawing>
          <wp:inline distT="0" distB="0" distL="114300" distR="114300">
            <wp:extent cx="5728970" cy="5320665"/>
            <wp:effectExtent l="0" t="0" r="1270" b="13335"/>
            <wp:docPr id="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53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5A433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4、工单流程</w:t>
      </w:r>
    </w:p>
    <w:p w14:paraId="011B74D4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报修工单遵循以下流程：提交报修→待分配→已分配→处理中→待确认→已完成/异常关闭。</w:t>
      </w:r>
    </w:p>
    <w:p w14:paraId="29013DE5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5、分配工单</w:t>
      </w:r>
    </w:p>
    <w:p w14:paraId="7A933919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管理员可将待分配的报修工单分配给具体的维修人员。</w:t>
      </w:r>
    </w:p>
    <w:p w14:paraId="3938182C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6、更新进度</w:t>
      </w:r>
    </w:p>
    <w:p w14:paraId="34121D58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维修人员可更新报修工单的处理进度，填写处理记录。</w:t>
      </w:r>
    </w:p>
    <w:p w14:paraId="4124ABC7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7、闭环确认</w:t>
      </w:r>
    </w:p>
    <w:p w14:paraId="64F22281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报修处理完成后，用户需确认维修结果，完成工单闭环。</w:t>
      </w:r>
    </w:p>
    <w:p w14:paraId="55EF8F44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8、标记异常</w:t>
      </w:r>
    </w:p>
    <w:p w14:paraId="406CE2D4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如果报修过程中出现异常情况，可标记工单为异常状态。</w:t>
      </w:r>
    </w:p>
    <w:p w14:paraId="275725A0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9、查看报修详情</w:t>
      </w:r>
    </w:p>
    <w:p w14:paraId="49C485CF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点击报修行或查看详情按钮，查看报修工单的完整信息，包含处理记录。</w:t>
      </w:r>
    </w:p>
    <w:p w14:paraId="0C86CF98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10、报修统计</w:t>
      </w:r>
    </w:p>
    <w:p w14:paraId="2F36C22F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系统提供报修数据的统计功能，方便管理者了解报修情况和处理效率。</w:t>
      </w:r>
    </w:p>
    <w:p w14:paraId="5C2D4399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11、导出报修</w:t>
      </w:r>
    </w:p>
    <w:p w14:paraId="0C686FEB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支持将报修列表导出为Excel文件。</w:t>
      </w:r>
    </w:p>
    <w:p w14:paraId="7827DD02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十、设备管理</w:t>
      </w:r>
    </w:p>
    <w:p w14:paraId="24E024DB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设备管理模块包含以下子功能：采购管理、入库管理、库存台账、出库管理、设备档案、设备维修、更换档案。</w:t>
      </w:r>
    </w:p>
    <w:p w14:paraId="2F4F7E4F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1、采购管理</w:t>
      </w:r>
    </w:p>
    <w:p w14:paraId="02829673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查看采购申请列表。点击“新增采购”创建采购记录，可上传相关文件。采购完成后确认入库，查看入库记录。支持编辑和删除采购记录。</w:t>
      </w:r>
    </w:p>
    <w:p w14:paraId="4349B661">
      <w:pPr>
        <w:spacing w:before="100" w:after="100"/>
      </w:pPr>
    </w:p>
    <w:p w14:paraId="53311E7B">
      <w:pPr>
        <w:spacing w:before="100" w:after="100"/>
        <w:jc w:val="center"/>
      </w:pPr>
      <w:r>
        <w:drawing>
          <wp:inline distT="0" distB="0" distL="114300" distR="114300">
            <wp:extent cx="5724525" cy="3225800"/>
            <wp:effectExtent l="0" t="0" r="5715" b="508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B041D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图10 采购管理列表页</w:t>
      </w:r>
    </w:p>
    <w:p w14:paraId="7D96316C">
      <w:pPr>
        <w:spacing w:before="100" w:after="100"/>
      </w:pPr>
    </w:p>
    <w:p w14:paraId="0E6A8CC8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2、入库管理</w:t>
      </w:r>
    </w:p>
    <w:p w14:paraId="450B5036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查看入库列表。支持独立入库操作。入库验收时可选择通过或不通过。</w:t>
      </w:r>
    </w:p>
    <w:p w14:paraId="3006485B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3、库存台账</w:t>
      </w:r>
    </w:p>
    <w:p w14:paraId="7067E341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查看库存台账列表，了解当前库存状况。支持设置最低库存量预警。可进行库存出库操作并查看出库记录。</w:t>
      </w:r>
    </w:p>
    <w:p w14:paraId="1F53A759">
      <w:pPr>
        <w:spacing w:before="100" w:after="100"/>
      </w:pPr>
    </w:p>
    <w:p w14:paraId="65609044">
      <w:pPr>
        <w:spacing w:before="100" w:after="100"/>
        <w:jc w:val="center"/>
      </w:pPr>
      <w:r>
        <w:drawing>
          <wp:inline distT="0" distB="0" distL="114300" distR="114300">
            <wp:extent cx="5730875" cy="3205480"/>
            <wp:effectExtent l="0" t="0" r="14605" b="10160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03D6E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图11 库存台账列表页</w:t>
      </w:r>
    </w:p>
    <w:p w14:paraId="160A863B">
      <w:pPr>
        <w:spacing w:before="100" w:after="100"/>
      </w:pPr>
    </w:p>
    <w:p w14:paraId="57FB5F97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4、出库管理</w:t>
      </w:r>
    </w:p>
    <w:p w14:paraId="0B303574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查看出库管理列表，支持新增出库操作，查看出库详情。</w:t>
      </w:r>
    </w:p>
    <w:p w14:paraId="64F776F2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5、设备档案</w:t>
      </w:r>
    </w:p>
    <w:p w14:paraId="7CF5EB2E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查看设备档案列表，支持搜索设备。可查看设备详情、进行安装登记、查看设备履历时间线。</w:t>
      </w:r>
    </w:p>
    <w:p w14:paraId="38F75CA4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设备状态流转：待入库→待安装→在用→维修中→停用→报废。</w:t>
      </w:r>
    </w:p>
    <w:p w14:paraId="740B566E">
      <w:pPr>
        <w:spacing w:before="100" w:after="100"/>
      </w:pPr>
    </w:p>
    <w:p w14:paraId="40957DD4">
      <w:pPr>
        <w:spacing w:before="100" w:after="100"/>
        <w:jc w:val="center"/>
      </w:pPr>
      <w:r>
        <w:drawing>
          <wp:inline distT="0" distB="0" distL="114300" distR="114300">
            <wp:extent cx="5727065" cy="3276600"/>
            <wp:effectExtent l="0" t="0" r="3175" b="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CE53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图12 设备档案列表页</w:t>
      </w:r>
    </w:p>
    <w:p w14:paraId="670E5AF6">
      <w:pPr>
        <w:spacing w:before="100" w:after="100"/>
      </w:pPr>
    </w:p>
    <w:p w14:paraId="6B35C238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6、设备维修</w:t>
      </w:r>
    </w:p>
    <w:p w14:paraId="15801317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查看设备维修列表。支持设备报修操作，维修人员可进行维修处理，含更换部件记录。</w:t>
      </w:r>
    </w:p>
    <w:p w14:paraId="707D3767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7、更换档案</w:t>
      </w:r>
    </w:p>
    <w:p w14:paraId="16A6E318">
      <w:pPr>
        <w:spacing w:before="60" w:after="60"/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查看更换档案列表，点击可查看更换详情信息。</w:t>
      </w:r>
    </w:p>
    <w:p w14:paraId="6109FE91">
      <w:pPr>
        <w:spacing w:before="60" w:after="60"/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drawing>
          <wp:inline distT="0" distB="0" distL="114300" distR="114300">
            <wp:extent cx="5728970" cy="1960880"/>
            <wp:effectExtent l="0" t="0" r="1270" b="5080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83A0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十一、员工打卡</w:t>
      </w:r>
    </w:p>
    <w:p w14:paraId="5586B9DE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1、打卡记录列表</w:t>
      </w:r>
    </w:p>
    <w:p w14:paraId="4606A921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进入员工打卡页面，查看所有员工的打卡记录列表。</w:t>
      </w:r>
    </w:p>
    <w:p w14:paraId="543232B2">
      <w:pPr>
        <w:spacing w:before="100" w:after="100"/>
      </w:pPr>
    </w:p>
    <w:p w14:paraId="1A964820">
      <w:pPr>
        <w:spacing w:before="100" w:after="100"/>
        <w:jc w:val="center"/>
      </w:pPr>
      <w:r>
        <w:drawing>
          <wp:inline distT="0" distB="0" distL="114300" distR="114300">
            <wp:extent cx="5730875" cy="2682240"/>
            <wp:effectExtent l="0" t="0" r="14605" b="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7174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图13 员工打卡列表页</w:t>
      </w:r>
    </w:p>
    <w:p w14:paraId="7D1E2291">
      <w:pPr>
        <w:spacing w:before="100" w:after="100"/>
      </w:pPr>
    </w:p>
    <w:p w14:paraId="42BEF12B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2、查看打卡详情</w:t>
      </w:r>
    </w:p>
    <w:p w14:paraId="0F9B7A8E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点击打卡记录可查看详细信息，包含打卡时间、打卡位置、打卡照片等。</w:t>
      </w:r>
    </w:p>
    <w:p w14:paraId="5EE506F0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3、删除打卡记录</w:t>
      </w:r>
    </w:p>
    <w:p w14:paraId="356A5506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支持删除异常的打卡记录。</w:t>
      </w:r>
    </w:p>
    <w:p w14:paraId="666F0757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十二、报表管理</w:t>
      </w:r>
    </w:p>
    <w:p w14:paraId="70ADB33E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报表管理模块包含以下子功能：我的报表、审批管理、报表查询、数据看板、逾期管理。</w:t>
      </w:r>
    </w:p>
    <w:p w14:paraId="712B4D05">
      <w:pPr>
        <w:spacing w:before="100" w:after="100"/>
      </w:pPr>
    </w:p>
    <w:p w14:paraId="7BB2FB56">
      <w:pPr>
        <w:spacing w:before="100" w:after="100"/>
        <w:jc w:val="center"/>
      </w:pPr>
      <w:r>
        <w:drawing>
          <wp:inline distT="0" distB="0" distL="114300" distR="114300">
            <wp:extent cx="5729605" cy="2679700"/>
            <wp:effectExtent l="0" t="0" r="635" b="2540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7C33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图14 我的报表列表页</w:t>
      </w:r>
    </w:p>
    <w:p w14:paraId="168647ED">
      <w:pPr>
        <w:spacing w:before="100" w:after="100"/>
      </w:pPr>
    </w:p>
    <w:p w14:paraId="67FA72C8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1、我的报表（report:fill）</w:t>
      </w:r>
    </w:p>
    <w:p w14:paraId="261731CF">
      <w:pPr>
        <w:spacing w:before="60" w:after="60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需设置对应岗位</w:t>
      </w:r>
    </w:p>
    <w:p w14:paraId="6AD87F44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查看报表列表，支持筛选。点击“新建”选择模板并填写数据后保存。草稿和已驳回状态的报表支持编辑修改。填写完成后可提交审批。驳回后可重新修改并提交。草稿状态可删除。提交后进入审批流程，可查看审批链状态。</w:t>
      </w:r>
    </w:p>
    <w:p w14:paraId="04A58C6F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2、审批管理（report:approve）</w:t>
      </w:r>
    </w:p>
    <w:p w14:paraId="3428FD21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查看待审批的报表列表，可选择通过或驳回审批。</w:t>
      </w:r>
    </w:p>
    <w:p w14:paraId="429C6585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3、报表查询（report:view）</w:t>
      </w:r>
    </w:p>
    <w:p w14:paraId="14CB0243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支持查询已完成的报表数据，可导出为Excel或PDF格式，查看修订历史。</w:t>
      </w:r>
    </w:p>
    <w:p w14:paraId="72D39DBD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4、数据看板（report:dashboard）</w:t>
      </w:r>
    </w:p>
    <w:p w14:paraId="710F447F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展示报表填报率、审批通过率等统计数据，以及按岗位维度的数据看板。</w:t>
      </w:r>
    </w:p>
    <w:p w14:paraId="284179B3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5、逾期管理（report:overdue:manage）</w:t>
      </w:r>
    </w:p>
    <w:p w14:paraId="147CA1BB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查看逾期未提交的报表列表，支持导出逾期数据。</w:t>
      </w:r>
    </w:p>
    <w:p w14:paraId="69B7F1EF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十三、统计分析</w:t>
      </w:r>
    </w:p>
    <w:p w14:paraId="683A4905">
      <w:pPr>
        <w:spacing w:before="60" w:after="60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权限标识：statistics:customer</w:t>
      </w:r>
    </w:p>
    <w:p w14:paraId="757DF031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统计分析页面包含以下四个标签页：客户统计、报修统计、拜访统计、合同统计。</w:t>
      </w:r>
    </w:p>
    <w:p w14:paraId="2BFA0DAA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支持按时间范围筛选统计数据，并可导出为Excel文件。</w:t>
      </w:r>
    </w:p>
    <w:p w14:paraId="31B2D0B9">
      <w:pPr>
        <w:spacing w:before="100" w:after="100"/>
      </w:pPr>
    </w:p>
    <w:p w14:paraId="5EC8C9D9">
      <w:pPr>
        <w:spacing w:before="100" w:after="100"/>
        <w:jc w:val="center"/>
      </w:pPr>
    </w:p>
    <w:p w14:paraId="477937B9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图15 统计分析页</w:t>
      </w:r>
    </w:p>
    <w:p w14:paraId="3DEB9D2A">
      <w:pPr>
        <w:spacing w:before="100" w:after="100"/>
      </w:pPr>
    </w:p>
    <w:p w14:paraId="0FAB5494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十四、操作日志</w:t>
      </w:r>
    </w:p>
    <w:p w14:paraId="5A184D7B">
      <w:pPr>
        <w:spacing w:before="60" w:after="60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权限标识：log:list</w:t>
      </w:r>
    </w:p>
    <w:p w14:paraId="44DA13AD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操作日志页面记录了系统中所有用户的重要操作。支持按用户、操作类型、时间等条件筛选日志。点击详情可查看操作的具体信息。支持导出CSV格式。</w:t>
      </w:r>
    </w:p>
    <w:p w14:paraId="78FFE4BA">
      <w:pPr>
        <w:spacing w:before="100" w:after="100"/>
      </w:pPr>
    </w:p>
    <w:p w14:paraId="0A252D66">
      <w:pPr>
        <w:spacing w:before="100" w:after="100"/>
        <w:jc w:val="center"/>
      </w:pPr>
      <w:r>
        <w:drawing>
          <wp:inline distT="0" distB="0" distL="114300" distR="114300">
            <wp:extent cx="5730875" cy="2922270"/>
            <wp:effectExtent l="0" t="0" r="14605" b="3810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5C364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图16 操作日志列表页</w:t>
      </w:r>
    </w:p>
    <w:p w14:paraId="62D47A80">
      <w:pPr>
        <w:spacing w:before="100" w:after="100"/>
      </w:pPr>
    </w:p>
    <w:p w14:paraId="2F40CD87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十五、数据备份</w:t>
      </w:r>
    </w:p>
    <w:p w14:paraId="03A5F305">
      <w:pPr>
        <w:spacing w:before="60" w:after="60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适用角色：超级管理员</w:t>
      </w:r>
    </w:p>
    <w:p w14:paraId="3ACC2AEE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数据备份页面展示系统备份记录列表。支持手动创建备份、下载已有备份文件以及删除备份记录。</w:t>
      </w:r>
    </w:p>
    <w:p w14:paraId="7B9E01EF">
      <w:pPr>
        <w:spacing w:before="100" w:after="100"/>
      </w:pPr>
    </w:p>
    <w:p w14:paraId="0F52C91C">
      <w:pPr>
        <w:spacing w:before="100" w:after="100"/>
        <w:jc w:val="center"/>
      </w:pPr>
      <w:r>
        <w:drawing>
          <wp:inline distT="0" distB="0" distL="114300" distR="114300">
            <wp:extent cx="5717540" cy="2626360"/>
            <wp:effectExtent l="0" t="0" r="12700" b="10160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FAA4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图17 数据备份列表页</w:t>
      </w:r>
    </w:p>
    <w:p w14:paraId="6FD3F9C1">
      <w:pPr>
        <w:spacing w:before="100" w:after="100"/>
      </w:pPr>
    </w:p>
    <w:p w14:paraId="49939A08">
      <w:pPr>
        <w:pStyle w:val="2"/>
        <w:spacing w:before="3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十六、附录：权限说明</w:t>
      </w:r>
    </w:p>
    <w:p w14:paraId="6B98CC3D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1、权限继承规则</w:t>
      </w:r>
    </w:p>
    <w:p w14:paraId="0D0E002D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系统采用层级权限模型，上层角色的权限包含下层角色的所有权限。超级管理员拥有全部权限，租户管理员继承超级管理员分配的权限，普通员工通过角色获得具体操作权限。</w:t>
      </w:r>
    </w:p>
    <w:p w14:paraId="3257B207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2、前端权限控制</w:t>
      </w:r>
    </w:p>
    <w:p w14:paraId="0F11ED45"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color w:val="000000"/>
          <w:sz w:val="24"/>
          <w:szCs w:val="24"/>
        </w:rPr>
        <w:t>系统前端通过 v-permission 指令实现页面元素级的权限控制。只有拥有对应权限标识的用户才能看到和操作相关功能按钮和菜单。</w:t>
      </w:r>
    </w:p>
    <w:p w14:paraId="020A8357">
      <w:pPr>
        <w:pStyle w:val="3"/>
        <w:spacing w:before="200" w:after="15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3、权限标识一览表</w:t>
      </w:r>
    </w:p>
    <w:tbl>
      <w:tblPr>
        <w:tblStyle w:val="11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3000"/>
      </w:tblGrid>
      <w:tr w14:paraId="25975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</w:tcPr>
          <w:p w14:paraId="7839EA1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权限标识</w:t>
            </w:r>
          </w:p>
        </w:tc>
        <w:tc>
          <w:tcPr>
            <w:tcW w:w="3000" w:type="dxa"/>
            <w:shd w:val="clear" w:color="auto" w:fill="D9E2F3"/>
          </w:tcPr>
          <w:p w14:paraId="05E9218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说明</w:t>
            </w:r>
          </w:p>
        </w:tc>
      </w:tr>
      <w:tr w14:paraId="3102C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313E8A4A">
            <w:r>
              <w:rPr>
                <w:rFonts w:ascii="Arial" w:hAnsi="Arial" w:eastAsia="Arial" w:cs="Arial"/>
                <w:sz w:val="22"/>
                <w:szCs w:val="22"/>
              </w:rPr>
              <w:t>tenant:list / tenant:add / tenant:edit</w:t>
            </w:r>
          </w:p>
        </w:tc>
        <w:tc>
          <w:tcPr>
            <w:tcW w:w="3000" w:type="dxa"/>
          </w:tcPr>
          <w:p w14:paraId="75AC070B">
            <w:r>
              <w:rPr>
                <w:rFonts w:ascii="微软雅黑" w:hAnsi="微软雅黑" w:eastAsia="微软雅黑" w:cs="微软雅黑"/>
                <w:sz w:val="22"/>
                <w:szCs w:val="22"/>
              </w:rPr>
              <w:t>租户管理</w:t>
            </w:r>
          </w:p>
        </w:tc>
      </w:tr>
      <w:tr w14:paraId="78F3C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5F2623E6">
            <w:r>
              <w:rPr>
                <w:rFonts w:ascii="Arial" w:hAnsi="Arial" w:eastAsia="Arial" w:cs="Arial"/>
                <w:sz w:val="22"/>
                <w:szCs w:val="22"/>
              </w:rPr>
              <w:t>role:list / role:add / role:edit / role:delete</w:t>
            </w:r>
          </w:p>
        </w:tc>
        <w:tc>
          <w:tcPr>
            <w:tcW w:w="3000" w:type="dxa"/>
          </w:tcPr>
          <w:p w14:paraId="3FEA3B8E">
            <w:r>
              <w:rPr>
                <w:rFonts w:ascii="微软雅黑" w:hAnsi="微软雅黑" w:eastAsia="微软雅黑" w:cs="微软雅黑"/>
                <w:sz w:val="22"/>
                <w:szCs w:val="22"/>
              </w:rPr>
              <w:t>角色管理</w:t>
            </w:r>
          </w:p>
        </w:tc>
      </w:tr>
      <w:tr w14:paraId="4D703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143BDD83">
            <w:r>
              <w:rPr>
                <w:rFonts w:ascii="Arial" w:hAnsi="Arial" w:eastAsia="Arial" w:cs="Arial"/>
                <w:sz w:val="22"/>
                <w:szCs w:val="22"/>
              </w:rPr>
              <w:t>user:list / user:add / user:edit / user:delete</w:t>
            </w:r>
          </w:p>
        </w:tc>
        <w:tc>
          <w:tcPr>
            <w:tcW w:w="3000" w:type="dxa"/>
          </w:tcPr>
          <w:p w14:paraId="6D0BC5D4">
            <w:r>
              <w:rPr>
                <w:rFonts w:ascii="微软雅黑" w:hAnsi="微软雅黑" w:eastAsia="微软雅黑" w:cs="微软雅黑"/>
                <w:sz w:val="22"/>
                <w:szCs w:val="22"/>
              </w:rPr>
              <w:t>员工管理</w:t>
            </w:r>
          </w:p>
        </w:tc>
      </w:tr>
      <w:tr w14:paraId="3C55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748D91DF">
            <w:r>
              <w:rPr>
                <w:rFonts w:ascii="Arial" w:hAnsi="Arial" w:eastAsia="Arial" w:cs="Arial"/>
                <w:sz w:val="22"/>
                <w:szCs w:val="22"/>
              </w:rPr>
              <w:t>employee-request:review</w:t>
            </w:r>
          </w:p>
        </w:tc>
        <w:tc>
          <w:tcPr>
            <w:tcW w:w="3000" w:type="dxa"/>
          </w:tcPr>
          <w:p w14:paraId="39FE2EAE">
            <w:r>
              <w:rPr>
                <w:rFonts w:ascii="微软雅黑" w:hAnsi="微软雅黑" w:eastAsia="微软雅黑" w:cs="微软雅黑"/>
                <w:sz w:val="22"/>
                <w:szCs w:val="22"/>
              </w:rPr>
              <w:t>员工申请审核</w:t>
            </w:r>
          </w:p>
        </w:tc>
      </w:tr>
      <w:tr w14:paraId="79741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5FE0106A">
            <w:r>
              <w:rPr>
                <w:rFonts w:ascii="Arial" w:hAnsi="Arial" w:eastAsia="Arial" w:cs="Arial"/>
                <w:sz w:val="22"/>
                <w:szCs w:val="22"/>
              </w:rPr>
              <w:t>customer:list / customer:add / customer:edit / customer:delete</w:t>
            </w:r>
          </w:p>
        </w:tc>
        <w:tc>
          <w:tcPr>
            <w:tcW w:w="3000" w:type="dxa"/>
          </w:tcPr>
          <w:p w14:paraId="4A9C8465">
            <w:r>
              <w:rPr>
                <w:rFonts w:ascii="微软雅黑" w:hAnsi="微软雅黑" w:eastAsia="微软雅黑" w:cs="微软雅黑"/>
                <w:sz w:val="22"/>
                <w:szCs w:val="22"/>
              </w:rPr>
              <w:t>客户管理</w:t>
            </w:r>
          </w:p>
        </w:tc>
      </w:tr>
      <w:tr w14:paraId="601FE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405695A9">
            <w:r>
              <w:rPr>
                <w:rFonts w:ascii="Arial" w:hAnsi="Arial" w:eastAsia="Arial" w:cs="Arial"/>
                <w:sz w:val="22"/>
                <w:szCs w:val="22"/>
              </w:rPr>
              <w:t>customer:import / customer:export</w:t>
            </w:r>
          </w:p>
        </w:tc>
        <w:tc>
          <w:tcPr>
            <w:tcW w:w="3000" w:type="dxa"/>
          </w:tcPr>
          <w:p w14:paraId="00642EC9">
            <w:r>
              <w:rPr>
                <w:rFonts w:ascii="微软雅黑" w:hAnsi="微软雅黑" w:eastAsia="微软雅黑" w:cs="微软雅黑"/>
                <w:sz w:val="22"/>
                <w:szCs w:val="22"/>
              </w:rPr>
              <w:t>客户导入导出</w:t>
            </w:r>
          </w:p>
        </w:tc>
      </w:tr>
      <w:tr w14:paraId="78DEE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155EFC23">
            <w:r>
              <w:rPr>
                <w:rFonts w:ascii="Arial" w:hAnsi="Arial" w:eastAsia="Arial" w:cs="Arial"/>
                <w:sz w:val="22"/>
                <w:szCs w:val="22"/>
              </w:rPr>
              <w:t>customer:assign</w:t>
            </w:r>
          </w:p>
        </w:tc>
        <w:tc>
          <w:tcPr>
            <w:tcW w:w="3000" w:type="dxa"/>
          </w:tcPr>
          <w:p w14:paraId="6A962E00">
            <w:r>
              <w:rPr>
                <w:rFonts w:ascii="微软雅黑" w:hAnsi="微软雅黑" w:eastAsia="微软雅黑" w:cs="微软雅黑"/>
                <w:sz w:val="22"/>
                <w:szCs w:val="22"/>
              </w:rPr>
              <w:t>客户分配/转移/回收/公共池</w:t>
            </w:r>
          </w:p>
        </w:tc>
      </w:tr>
      <w:tr w14:paraId="6CF4F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0213E088">
            <w:r>
              <w:rPr>
                <w:rFonts w:ascii="Arial" w:hAnsi="Arial" w:eastAsia="Arial" w:cs="Arial"/>
                <w:sz w:val="22"/>
                <w:szCs w:val="22"/>
              </w:rPr>
              <w:t>customer:invalid</w:t>
            </w:r>
          </w:p>
        </w:tc>
        <w:tc>
          <w:tcPr>
            <w:tcW w:w="3000" w:type="dxa"/>
          </w:tcPr>
          <w:p w14:paraId="59524FF8">
            <w:r>
              <w:rPr>
                <w:rFonts w:ascii="微软雅黑" w:hAnsi="微软雅黑" w:eastAsia="微软雅黑" w:cs="微软雅黑"/>
                <w:sz w:val="22"/>
                <w:szCs w:val="22"/>
              </w:rPr>
              <w:t>标记无效/恢复无效</w:t>
            </w:r>
          </w:p>
        </w:tc>
      </w:tr>
      <w:tr w14:paraId="7C20F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4DBF987A">
            <w:r>
              <w:rPr>
                <w:rFonts w:ascii="Arial" w:hAnsi="Arial" w:eastAsia="Arial" w:cs="Arial"/>
                <w:sz w:val="22"/>
                <w:szCs w:val="22"/>
              </w:rPr>
              <w:t>contract:list / contract:add / contract:edit / contract:delete</w:t>
            </w:r>
          </w:p>
        </w:tc>
        <w:tc>
          <w:tcPr>
            <w:tcW w:w="3000" w:type="dxa"/>
          </w:tcPr>
          <w:p w14:paraId="2D15A9FC">
            <w:r>
              <w:rPr>
                <w:rFonts w:ascii="微软雅黑" w:hAnsi="微软雅黑" w:eastAsia="微软雅黑" w:cs="微软雅黑"/>
                <w:sz w:val="22"/>
                <w:szCs w:val="22"/>
              </w:rPr>
              <w:t>合同管理</w:t>
            </w:r>
          </w:p>
        </w:tc>
      </w:tr>
      <w:tr w14:paraId="61205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35EE5BDA">
            <w:r>
              <w:rPr>
                <w:rFonts w:ascii="Arial" w:hAnsi="Arial" w:eastAsia="Arial" w:cs="Arial"/>
                <w:sz w:val="22"/>
                <w:szCs w:val="22"/>
              </w:rPr>
              <w:t>contract:status</w:t>
            </w:r>
          </w:p>
        </w:tc>
        <w:tc>
          <w:tcPr>
            <w:tcW w:w="3000" w:type="dxa"/>
          </w:tcPr>
          <w:p w14:paraId="24B96A60">
            <w:r>
              <w:rPr>
                <w:rFonts w:ascii="微软雅黑" w:hAnsi="微软雅黑" w:eastAsia="微软雅黑" w:cs="微软雅黑"/>
                <w:sz w:val="22"/>
                <w:szCs w:val="22"/>
              </w:rPr>
              <w:t>合同状态变更</w:t>
            </w:r>
          </w:p>
        </w:tc>
      </w:tr>
      <w:tr w14:paraId="44409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25DBC5A2">
            <w:r>
              <w:rPr>
                <w:rFonts w:ascii="Arial" w:hAnsi="Arial" w:eastAsia="Arial" w:cs="Arial"/>
                <w:sz w:val="22"/>
                <w:szCs w:val="22"/>
              </w:rPr>
              <w:t>contract:remind</w:t>
            </w:r>
          </w:p>
        </w:tc>
        <w:tc>
          <w:tcPr>
            <w:tcW w:w="3000" w:type="dxa"/>
          </w:tcPr>
          <w:p w14:paraId="7F8C97B1">
            <w:r>
              <w:rPr>
                <w:rFonts w:ascii="微软雅黑" w:hAnsi="微软雅黑" w:eastAsia="微软雅黑" w:cs="微软雅黑"/>
                <w:sz w:val="22"/>
                <w:szCs w:val="22"/>
              </w:rPr>
              <w:t>合同到期提醒</w:t>
            </w:r>
          </w:p>
        </w:tc>
      </w:tr>
      <w:tr w14:paraId="2BFAC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29E16153">
            <w:r>
              <w:rPr>
                <w:rFonts w:ascii="Arial" w:hAnsi="Arial" w:eastAsia="Arial" w:cs="Arial"/>
                <w:sz w:val="22"/>
                <w:szCs w:val="22"/>
              </w:rPr>
              <w:t>repair:list / repair:add / repair:edit / repair:delete</w:t>
            </w:r>
          </w:p>
        </w:tc>
        <w:tc>
          <w:tcPr>
            <w:tcW w:w="3000" w:type="dxa"/>
          </w:tcPr>
          <w:p w14:paraId="02067FD8">
            <w:r>
              <w:rPr>
                <w:rFonts w:ascii="微软雅黑" w:hAnsi="微软雅黑" w:eastAsia="微软雅黑" w:cs="微软雅黑"/>
                <w:sz w:val="22"/>
                <w:szCs w:val="22"/>
              </w:rPr>
              <w:t>报修管理</w:t>
            </w:r>
          </w:p>
        </w:tc>
      </w:tr>
      <w:tr w14:paraId="74C78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0C14CD60">
            <w:r>
              <w:rPr>
                <w:rFonts w:ascii="Arial" w:hAnsi="Arial" w:eastAsia="Arial" w:cs="Arial"/>
                <w:sz w:val="22"/>
                <w:szCs w:val="22"/>
              </w:rPr>
              <w:t>repair:assign / repair:process / repair:confirm / repair:exception</w:t>
            </w:r>
          </w:p>
        </w:tc>
        <w:tc>
          <w:tcPr>
            <w:tcW w:w="3000" w:type="dxa"/>
          </w:tcPr>
          <w:p w14:paraId="5D648E06">
            <w:r>
              <w:rPr>
                <w:rFonts w:ascii="微软雅黑" w:hAnsi="微软雅黑" w:eastAsia="微软雅黑" w:cs="微软雅黑"/>
                <w:sz w:val="22"/>
                <w:szCs w:val="22"/>
              </w:rPr>
              <w:t>报修工单流程</w:t>
            </w:r>
          </w:p>
        </w:tc>
      </w:tr>
      <w:tr w14:paraId="296A2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07F7BD6F">
            <w:r>
              <w:rPr>
                <w:rFonts w:ascii="Arial" w:hAnsi="Arial" w:eastAsia="Arial" w:cs="Arial"/>
                <w:sz w:val="22"/>
                <w:szCs w:val="22"/>
              </w:rPr>
              <w:t>purchase:list</w:t>
            </w:r>
          </w:p>
        </w:tc>
        <w:tc>
          <w:tcPr>
            <w:tcW w:w="3000" w:type="dxa"/>
          </w:tcPr>
          <w:p w14:paraId="1ACD3D68">
            <w:r>
              <w:rPr>
                <w:rFonts w:ascii="微软雅黑" w:hAnsi="微软雅黑" w:eastAsia="微软雅黑" w:cs="微软雅黑"/>
                <w:sz w:val="22"/>
                <w:szCs w:val="22"/>
              </w:rPr>
              <w:t>采购管理</w:t>
            </w:r>
          </w:p>
        </w:tc>
      </w:tr>
      <w:tr w14:paraId="2F85A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48D0FA33">
            <w:r>
              <w:rPr>
                <w:rFonts w:ascii="Arial" w:hAnsi="Arial" w:eastAsia="Arial" w:cs="Arial"/>
                <w:sz w:val="22"/>
                <w:szCs w:val="22"/>
              </w:rPr>
              <w:t>stock-in:list</w:t>
            </w:r>
          </w:p>
        </w:tc>
        <w:tc>
          <w:tcPr>
            <w:tcW w:w="3000" w:type="dxa"/>
          </w:tcPr>
          <w:p w14:paraId="4238EA09">
            <w:r>
              <w:rPr>
                <w:rFonts w:ascii="微软雅黑" w:hAnsi="微软雅黑" w:eastAsia="微软雅黑" w:cs="微软雅黑"/>
                <w:sz w:val="22"/>
                <w:szCs w:val="22"/>
              </w:rPr>
              <w:t>入库管理</w:t>
            </w:r>
          </w:p>
        </w:tc>
      </w:tr>
      <w:tr w14:paraId="142D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79EA6AFC">
            <w:r>
              <w:rPr>
                <w:rFonts w:ascii="Arial" w:hAnsi="Arial" w:eastAsia="Arial" w:cs="Arial"/>
                <w:sz w:val="22"/>
                <w:szCs w:val="22"/>
              </w:rPr>
              <w:t>inventory:list</w:t>
            </w:r>
          </w:p>
        </w:tc>
        <w:tc>
          <w:tcPr>
            <w:tcW w:w="3000" w:type="dxa"/>
          </w:tcPr>
          <w:p w14:paraId="3A228B2B">
            <w:r>
              <w:rPr>
                <w:rFonts w:ascii="微软雅黑" w:hAnsi="微软雅黑" w:eastAsia="微软雅黑" w:cs="微软雅黑"/>
                <w:sz w:val="22"/>
                <w:szCs w:val="22"/>
              </w:rPr>
              <w:t>库存台账</w:t>
            </w:r>
          </w:p>
        </w:tc>
      </w:tr>
      <w:tr w14:paraId="3B8D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5848CC8F">
            <w:r>
              <w:rPr>
                <w:rFonts w:ascii="Arial" w:hAnsi="Arial" w:eastAsia="Arial" w:cs="Arial"/>
                <w:sz w:val="22"/>
                <w:szCs w:val="22"/>
              </w:rPr>
              <w:t>stock-out:list</w:t>
            </w:r>
          </w:p>
        </w:tc>
        <w:tc>
          <w:tcPr>
            <w:tcW w:w="3000" w:type="dxa"/>
          </w:tcPr>
          <w:p w14:paraId="27F5653E">
            <w:r>
              <w:rPr>
                <w:rFonts w:ascii="微软雅黑" w:hAnsi="微软雅黑" w:eastAsia="微软雅黑" w:cs="微软雅黑"/>
                <w:sz w:val="22"/>
                <w:szCs w:val="22"/>
              </w:rPr>
              <w:t>出库管理</w:t>
            </w:r>
          </w:p>
        </w:tc>
      </w:tr>
      <w:tr w14:paraId="6AE7B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3F0670FA">
            <w:r>
              <w:rPr>
                <w:rFonts w:ascii="Arial" w:hAnsi="Arial" w:eastAsia="Arial" w:cs="Arial"/>
                <w:sz w:val="22"/>
                <w:szCs w:val="22"/>
              </w:rPr>
              <w:t>device:list</w:t>
            </w:r>
          </w:p>
        </w:tc>
        <w:tc>
          <w:tcPr>
            <w:tcW w:w="3000" w:type="dxa"/>
          </w:tcPr>
          <w:p w14:paraId="3C2D81AB">
            <w:r>
              <w:rPr>
                <w:rFonts w:ascii="微软雅黑" w:hAnsi="微软雅黑" w:eastAsia="微软雅黑" w:cs="微软雅黑"/>
                <w:sz w:val="22"/>
                <w:szCs w:val="22"/>
              </w:rPr>
              <w:t>设备档案</w:t>
            </w:r>
          </w:p>
        </w:tc>
      </w:tr>
      <w:tr w14:paraId="24E7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1F94143A">
            <w:r>
              <w:rPr>
                <w:rFonts w:ascii="Arial" w:hAnsi="Arial" w:eastAsia="Arial" w:cs="Arial"/>
                <w:sz w:val="22"/>
                <w:szCs w:val="22"/>
              </w:rPr>
              <w:t>checkin:add / checkin:list / checkin:delete</w:t>
            </w:r>
          </w:p>
        </w:tc>
        <w:tc>
          <w:tcPr>
            <w:tcW w:w="3000" w:type="dxa"/>
          </w:tcPr>
          <w:p w14:paraId="789CF02A">
            <w:r>
              <w:rPr>
                <w:rFonts w:ascii="微软雅黑" w:hAnsi="微软雅黑" w:eastAsia="微软雅黑" w:cs="微软雅黑"/>
                <w:sz w:val="22"/>
                <w:szCs w:val="22"/>
              </w:rPr>
              <w:t>员工打卡</w:t>
            </w:r>
          </w:p>
        </w:tc>
      </w:tr>
      <w:tr w14:paraId="5F72D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287236E9">
            <w:r>
              <w:rPr>
                <w:rFonts w:ascii="Arial" w:hAnsi="Arial" w:eastAsia="Arial" w:cs="Arial"/>
                <w:sz w:val="22"/>
                <w:szCs w:val="22"/>
              </w:rPr>
              <w:t>report:fill / report:approve / report:view</w:t>
            </w:r>
          </w:p>
        </w:tc>
        <w:tc>
          <w:tcPr>
            <w:tcW w:w="3000" w:type="dxa"/>
          </w:tcPr>
          <w:p w14:paraId="33AFA718">
            <w:r>
              <w:rPr>
                <w:rFonts w:ascii="微软雅黑" w:hAnsi="微软雅黑" w:eastAsia="微软雅黑" w:cs="微软雅黑"/>
                <w:sz w:val="22"/>
                <w:szCs w:val="22"/>
              </w:rPr>
              <w:t>报表管理</w:t>
            </w:r>
          </w:p>
        </w:tc>
      </w:tr>
      <w:tr w14:paraId="1E42A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2B90E2CB">
            <w:r>
              <w:rPr>
                <w:rFonts w:ascii="Arial" w:hAnsi="Arial" w:eastAsia="Arial" w:cs="Arial"/>
                <w:sz w:val="22"/>
                <w:szCs w:val="22"/>
              </w:rPr>
              <w:t>report:dashboard / report:overdue:manage / report:export</w:t>
            </w:r>
          </w:p>
        </w:tc>
        <w:tc>
          <w:tcPr>
            <w:tcW w:w="3000" w:type="dxa"/>
          </w:tcPr>
          <w:p w14:paraId="326F19C3">
            <w:r>
              <w:rPr>
                <w:rFonts w:ascii="微软雅黑" w:hAnsi="微软雅黑" w:eastAsia="微软雅黑" w:cs="微软雅黑"/>
                <w:sz w:val="22"/>
                <w:szCs w:val="22"/>
              </w:rPr>
              <w:t>报表看板/逾期/导出</w:t>
            </w:r>
          </w:p>
        </w:tc>
      </w:tr>
      <w:tr w14:paraId="0935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046076FD">
            <w:r>
              <w:rPr>
                <w:rFonts w:ascii="Arial" w:hAnsi="Arial" w:eastAsia="Arial" w:cs="Arial"/>
                <w:sz w:val="22"/>
                <w:szCs w:val="22"/>
              </w:rPr>
              <w:t>statistics:customer / statistics:export</w:t>
            </w:r>
          </w:p>
        </w:tc>
        <w:tc>
          <w:tcPr>
            <w:tcW w:w="3000" w:type="dxa"/>
          </w:tcPr>
          <w:p w14:paraId="720F91EF">
            <w:r>
              <w:rPr>
                <w:rFonts w:ascii="微软雅黑" w:hAnsi="微软雅黑" w:eastAsia="微软雅黑" w:cs="微软雅黑"/>
                <w:sz w:val="22"/>
                <w:szCs w:val="22"/>
              </w:rPr>
              <w:t>统计分析</w:t>
            </w:r>
          </w:p>
        </w:tc>
      </w:tr>
      <w:tr w14:paraId="3C937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526E432F">
            <w:r>
              <w:rPr>
                <w:rFonts w:ascii="Arial" w:hAnsi="Arial" w:eastAsia="Arial" w:cs="Arial"/>
                <w:sz w:val="22"/>
                <w:szCs w:val="22"/>
              </w:rPr>
              <w:t>log:list / log:export</w:t>
            </w:r>
          </w:p>
        </w:tc>
        <w:tc>
          <w:tcPr>
            <w:tcW w:w="3000" w:type="dxa"/>
          </w:tcPr>
          <w:p w14:paraId="1B323AA3">
            <w:r>
              <w:rPr>
                <w:rFonts w:ascii="微软雅黑" w:hAnsi="微软雅黑" w:eastAsia="微软雅黑" w:cs="微软雅黑"/>
                <w:sz w:val="22"/>
                <w:szCs w:val="22"/>
              </w:rPr>
              <w:t>操作日志</w:t>
            </w:r>
          </w:p>
        </w:tc>
      </w:tr>
    </w:tbl>
    <w:p w14:paraId="2488F5CF"/>
    <w:sectPr>
      <w:head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26FEA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8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46682D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8ttdk1QAAAAQBAAAPAAAAAAAAAAEAIAAAACIAAABkcnMvZG93bnJldi54bWxQ&#10;SwECFAAUAAAACACHTuJABH9LPsEBAACUAwAADgAAAAAAAAABACAAAAAkAQAAZHJzL2Uyb0RvYy54&#10;bWxQSwUGAAAAAAYABgBZAQAAVwUAAAAA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4246682D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DEB14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4024</Words>
  <Characters>4798</Characters>
  <TotalTime>7</TotalTime>
  <ScaleCrop>false</ScaleCrop>
  <LinksUpToDate>false</LinksUpToDate>
  <CharactersWithSpaces>4881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2026-07-01T02:40:00Z</dcterms:created>
  <dc:creator>Un-named</dc:creator>
  <cp:lastModifiedBy>从此丶一切空白</cp:lastModifiedBy>
  <dcterms:modified xsi:type="dcterms:W3CDTF">2026-07-01T02:49:49Z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eyJoZGlkIjoiOGNiNjgxY2RlYjAwYjA1NGIyYjlhOTlkODkwNzYxN2IiLCJ1c2VySWQiOiIxNDUxMTc3MTY2In0=</vt:lpwstr>
  </property>
  <property fmtid="{D5CDD505-2E9C-101B-9397-08002B2CF9AE}" pid="3" name="KSOProductBuildVer">
    <vt:lpwstr>2052-12.1.0.26895</vt:lpwstr>
  </property>
  <property fmtid="{D5CDD505-2E9C-101B-9397-08002B2CF9AE}" pid="4" name="ICV">
    <vt:lpwstr>68632B5D8F5C4B5C83A2344137B517D0_12</vt:lpwstr>
  </property>
</Properties>
</file>