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校链通-需求说明书v1.0</w:t>
      </w:r>
    </w:p>
    <w:p>
      <w:pPr>
        <w:pStyle w:val="1"/>
        <w:spacing w:before="380" w:after="140" w:line="288" w:lineRule="auto"/>
        <w:ind w:left="0"/>
        <w:jc w:val="left"/>
        <w:outlineLvl w:val="0"/>
      </w:pPr>
      <w:bookmarkStart w:name="heading_0" w:id="0"/>
      <w:r>
        <w:rPr>
          <w:rFonts w:eastAsia="等线" w:ascii="Arial" w:cs="Arial" w:hAnsi="Arial"/>
          <w:b w:val="true"/>
          <w:sz w:val="36"/>
        </w:rPr>
        <w:t>校链通 APP 需求说明</w:t>
      </w:r>
      <w:bookmarkEnd w:id="0"/>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一、 引言</w:t>
      </w:r>
      <w:bookmarkEnd w:id="1"/>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1. 编写目的</w:t>
      </w:r>
      <w:bookmarkEnd w:id="2"/>
    </w:p>
    <w:p>
      <w:pPr>
        <w:spacing w:before="120" w:after="120" w:line="288" w:lineRule="auto"/>
        <w:ind w:left="0"/>
        <w:jc w:val="left"/>
      </w:pPr>
      <w:r>
        <w:rPr>
          <w:rFonts w:eastAsia="等线" w:ascii="Arial" w:cs="Arial" w:hAnsi="Arial"/>
          <w:sz w:val="22"/>
        </w:rPr>
        <w:t>本文档旨在梳理“校链通”APP一期建设的核心业务需求与产品方向。作为早期阶段的基础说明文件，本文档将为产品设计、研发落地以及后续在校友会内部的宣讲推广提供核心依据，确保团队对产品“快速上线、验证场景”的阶段性目标达成共识。</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2. 项目背景与产品定位</w:t>
      </w:r>
      <w:bookmarkEnd w:id="3"/>
    </w:p>
    <w:p>
      <w:pPr>
        <w:spacing w:before="120" w:after="120" w:line="288" w:lineRule="auto"/>
        <w:ind w:left="0"/>
        <w:jc w:val="left"/>
      </w:pPr>
      <w:r>
        <w:rPr>
          <w:rFonts w:eastAsia="等线" w:ascii="Arial" w:cs="Arial" w:hAnsi="Arial"/>
          <w:sz w:val="22"/>
        </w:rPr>
        <w:t>在当前汽车产业加速变革的背景下，供应链的稳定与高效寻源成为企业核心竞争力。</w:t>
      </w:r>
      <w:r>
        <w:rPr>
          <w:rFonts w:eastAsia="等线" w:ascii="Arial" w:cs="Arial" w:hAnsi="Arial"/>
          <w:b w:val="true"/>
          <w:sz w:val="22"/>
        </w:rPr>
        <w:t>燕山大学汽车学院校友会供应链分会</w:t>
      </w:r>
      <w:r>
        <w:rPr>
          <w:rFonts w:eastAsia="等线" w:ascii="Arial" w:cs="Arial" w:hAnsi="Arial"/>
          <w:sz w:val="22"/>
        </w:rPr>
        <w:t>汇聚了大量汽车产业链上下游的优秀校友企业，具备天然的信任基础与合作潜能。</w:t>
      </w:r>
    </w:p>
    <w:p>
      <w:pPr>
        <w:spacing w:before="120" w:after="120" w:line="288" w:lineRule="auto"/>
        <w:ind w:left="0"/>
        <w:jc w:val="left"/>
      </w:pPr>
      <w:r>
        <w:rPr>
          <w:rFonts w:eastAsia="等线" w:ascii="Arial" w:cs="Arial" w:hAnsi="Arial"/>
          <w:sz w:val="22"/>
        </w:rPr>
        <w:t>然而，校友企业间仍面临“信息不对称、匹配效率低”的痛点。基于此，</w:t>
      </w:r>
      <w:r>
        <w:rPr>
          <w:rFonts w:eastAsia="等线" w:ascii="Arial" w:cs="Arial" w:hAnsi="Arial"/>
          <w:b w:val="true"/>
          <w:sz w:val="22"/>
        </w:rPr>
        <w:t>校链通</w:t>
      </w:r>
      <w:r>
        <w:rPr>
          <w:rFonts w:eastAsia="等线" w:ascii="Arial" w:cs="Arial" w:hAnsi="Arial"/>
          <w:sz w:val="22"/>
        </w:rPr>
        <w:t>应运而生。</w:t>
      </w:r>
    </w:p>
    <w:p>
      <w:pPr>
        <w:spacing w:before="120" w:after="120" w:line="288" w:lineRule="auto"/>
        <w:ind w:left="0"/>
        <w:jc w:val="left"/>
      </w:pPr>
      <w:r>
        <w:rPr>
          <w:rFonts w:eastAsia="等线" w:ascii="Arial" w:cs="Arial" w:hAnsi="Arial"/>
          <w:b w:val="true"/>
          <w:sz w:val="22"/>
        </w:rPr>
        <w:t>产品定位</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b w:val="true"/>
          <w:sz w:val="22"/>
        </w:rPr>
        <w:t>校友企业的专属供需撮合阵地</w:t>
      </w:r>
      <w:r>
        <w:rPr>
          <w:rFonts w:eastAsia="等线" w:ascii="Arial" w:cs="Arial" w:hAnsi="Arial"/>
          <w:sz w:val="22"/>
        </w:rPr>
        <w:t>：依托燕山大学汽车学院校友会的信任纽带，打破信息孤岛，构建真实、高效、可信的内部商业生态圈。</w:t>
      </w:r>
    </w:p>
    <w:p>
      <w:pPr>
        <w:numPr>
          <w:numId w:val="2"/>
        </w:numPr>
        <w:spacing w:before="120" w:after="120" w:line="288" w:lineRule="auto"/>
        <w:ind w:left="0"/>
        <w:jc w:val="left"/>
      </w:pPr>
      <w:r>
        <w:rPr>
          <w:rFonts w:eastAsia="等线" w:ascii="Arial" w:cs="Arial" w:hAnsi="Arial"/>
          <w:b w:val="true"/>
          <w:sz w:val="22"/>
        </w:rPr>
        <w:t>轻量级供应链寻源工具</w:t>
      </w:r>
      <w:r>
        <w:rPr>
          <w:rFonts w:eastAsia="等线" w:ascii="Arial" w:cs="Arial" w:hAnsi="Arial"/>
          <w:sz w:val="22"/>
        </w:rPr>
        <w:t>：帮助校友企业快速发布采购需求、精准展示供应能力，降低获客与寻源成本，实现校友经济价值最大化。</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二、 总体说明</w:t>
      </w:r>
      <w:bookmarkEnd w:id="4"/>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1. 终端策略：移动端优先，PC端协同</w:t>
      </w:r>
      <w:bookmarkEnd w:id="5"/>
    </w:p>
    <w:p>
      <w:pPr>
        <w:spacing w:before="120" w:after="120" w:line="288" w:lineRule="auto"/>
        <w:ind w:left="0"/>
        <w:jc w:val="left"/>
      </w:pPr>
      <w:r>
        <w:rPr>
          <w:rFonts w:eastAsia="等线" w:ascii="Arial" w:cs="Arial" w:hAnsi="Arial"/>
          <w:sz w:val="22"/>
        </w:rPr>
        <w:t>为契合校友企业主、高管及业务人员碎片化、高频次的移动办公场景，本期产品采取</w:t>
      </w:r>
      <w:r>
        <w:rPr>
          <w:rFonts w:eastAsia="等线" w:ascii="Arial" w:cs="Arial" w:hAnsi="Arial"/>
          <w:b w:val="true"/>
          <w:sz w:val="22"/>
        </w:rPr>
        <w:t>移动端优先 (Mobile First)</w:t>
      </w:r>
      <w:r>
        <w:rPr>
          <w:rFonts w:eastAsia="等线" w:ascii="Arial" w:cs="Arial" w:hAnsi="Arial"/>
          <w:sz w:val="22"/>
        </w:rPr>
        <w:t xml:space="preserve"> 的设计策略。</w:t>
      </w:r>
    </w:p>
    <w:p>
      <w:pPr>
        <w:numPr>
          <w:numId w:val="3"/>
        </w:numPr>
        <w:spacing w:before="120" w:after="120" w:line="288" w:lineRule="auto"/>
        <w:ind w:left="0"/>
        <w:jc w:val="left"/>
      </w:pPr>
      <w:r>
        <w:rPr>
          <w:rFonts w:eastAsia="等线" w:ascii="Arial" w:cs="Arial" w:hAnsi="Arial"/>
          <w:b w:val="true"/>
          <w:sz w:val="22"/>
        </w:rPr>
        <w:t>移动端 (H5/小程序)</w:t>
      </w:r>
      <w:r>
        <w:rPr>
          <w:rFonts w:eastAsia="等线" w:ascii="Arial" w:cs="Arial" w:hAnsi="Arial"/>
          <w:sz w:val="22"/>
        </w:rPr>
        <w:t>：承载核心的“浏览、发布、沟通”等高频轻量操作，确保随时随地触达商机。</w:t>
      </w:r>
    </w:p>
    <w:p>
      <w:pPr>
        <w:numPr>
          <w:numId w:val="4"/>
        </w:numPr>
        <w:spacing w:before="120" w:after="120" w:line="288" w:lineRule="auto"/>
        <w:ind w:left="0"/>
        <w:jc w:val="left"/>
      </w:pPr>
      <w:r>
        <w:rPr>
          <w:rFonts w:eastAsia="等线" w:ascii="Arial" w:cs="Arial" w:hAnsi="Arial"/>
          <w:b w:val="true"/>
          <w:sz w:val="22"/>
        </w:rPr>
        <w:t>PC端 (Web)</w:t>
      </w:r>
      <w:r>
        <w:rPr>
          <w:rFonts w:eastAsia="等线" w:ascii="Arial" w:cs="Arial" w:hAnsi="Arial"/>
          <w:sz w:val="22"/>
        </w:rPr>
        <w:t>：作为移动端的有力补充，主要承载“复杂表单填写（如详细需求发布）、企业主页深度装修、平台后台管理与数据监控”等沉浸式操作。</w:t>
      </w:r>
    </w:p>
    <w:p>
      <w:pPr>
        <w:spacing w:before="120" w:after="120" w:line="288" w:lineRule="auto"/>
        <w:ind w:left="453"/>
        <w:jc w:val="left"/>
      </w:pPr>
    </w:p>
    <w:p>
      <w:pPr>
        <w:pStyle w:val="3"/>
        <w:spacing w:before="300" w:after="120" w:line="288" w:lineRule="auto"/>
        <w:ind w:left="0"/>
        <w:jc w:val="left"/>
        <w:outlineLvl w:val="2"/>
      </w:pPr>
      <w:bookmarkStart w:name="heading_6" w:id="6"/>
      <w:r>
        <w:rPr>
          <w:rFonts w:eastAsia="等线" w:ascii="Arial" w:cs="Arial" w:hAnsi="Arial"/>
          <w:b w:val="true"/>
          <w:sz w:val="30"/>
        </w:rPr>
        <w:t>2. 核心用户角色</w:t>
      </w:r>
      <w:bookmarkEnd w:id="6"/>
    </w:p>
    <w:p>
      <w:pPr>
        <w:numPr>
          <w:numId w:val="5"/>
        </w:numPr>
        <w:spacing w:before="120" w:after="120" w:line="288" w:lineRule="auto"/>
        <w:ind w:left="0"/>
        <w:jc w:val="left"/>
      </w:pPr>
      <w:r>
        <w:rPr>
          <w:rFonts w:eastAsia="等线" w:ascii="Arial" w:cs="Arial" w:hAnsi="Arial"/>
          <w:b w:val="true"/>
          <w:sz w:val="22"/>
        </w:rPr>
        <w:t>普通员工 (企业端)</w:t>
      </w:r>
      <w:r>
        <w:rPr>
          <w:rFonts w:eastAsia="等线" w:ascii="Arial" w:cs="Arial" w:hAnsi="Arial"/>
          <w:sz w:val="22"/>
        </w:rPr>
        <w:t>：浏览商机、发布供需、发起沟通。</w:t>
      </w:r>
    </w:p>
    <w:p>
      <w:pPr>
        <w:numPr>
          <w:numId w:val="6"/>
        </w:numPr>
        <w:spacing w:before="120" w:after="120" w:line="288" w:lineRule="auto"/>
        <w:ind w:left="0"/>
        <w:jc w:val="left"/>
      </w:pPr>
      <w:r>
        <w:rPr>
          <w:rFonts w:eastAsia="等线" w:ascii="Arial" w:cs="Arial" w:hAnsi="Arial"/>
          <w:b w:val="true"/>
          <w:sz w:val="22"/>
        </w:rPr>
        <w:t>企业管理员 (企业端)</w:t>
      </w:r>
      <w:r>
        <w:rPr>
          <w:rFonts w:eastAsia="等线" w:ascii="Arial" w:cs="Arial" w:hAnsi="Arial"/>
          <w:sz w:val="22"/>
        </w:rPr>
        <w:t>：管理企业主页、认证企业资质、管理员工账号。</w:t>
      </w:r>
    </w:p>
    <w:p>
      <w:pPr>
        <w:numPr>
          <w:numId w:val="7"/>
        </w:numPr>
        <w:spacing w:before="120" w:after="120" w:line="288" w:lineRule="auto"/>
        <w:ind w:left="0"/>
        <w:jc w:val="left"/>
      </w:pPr>
      <w:r>
        <w:rPr>
          <w:rFonts w:eastAsia="等线" w:ascii="Arial" w:cs="Arial" w:hAnsi="Arial"/>
          <w:b w:val="true"/>
          <w:sz w:val="22"/>
        </w:rPr>
        <w:t>平台运营 (平台端)</w:t>
      </w:r>
      <w:r>
        <w:rPr>
          <w:rFonts w:eastAsia="等线" w:ascii="Arial" w:cs="Arial" w:hAnsi="Arial"/>
          <w:sz w:val="22"/>
        </w:rPr>
        <w:t>：审核企业资质、审核商机信息、维护基础数据。</w:t>
      </w:r>
    </w:p>
    <w:p>
      <w:pPr>
        <w:numPr>
          <w:numId w:val="8"/>
        </w:numPr>
        <w:spacing w:before="120" w:after="120" w:line="288" w:lineRule="auto"/>
        <w:ind w:left="0"/>
        <w:jc w:val="left"/>
      </w:pPr>
      <w:r>
        <w:rPr>
          <w:rFonts w:eastAsia="等线" w:ascii="Arial" w:cs="Arial" w:hAnsi="Arial"/>
          <w:b w:val="true"/>
          <w:sz w:val="22"/>
        </w:rPr>
        <w:t>超级管理员 (平台端)</w:t>
      </w:r>
      <w:r>
        <w:rPr>
          <w:rFonts w:eastAsia="等线" w:ascii="Arial" w:cs="Arial" w:hAnsi="Arial"/>
          <w:sz w:val="22"/>
        </w:rPr>
        <w:t>：平台全局设置、数据大盘监控。</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三、 核心功能需求</w:t>
      </w:r>
      <w:bookmarkEnd w:id="7"/>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功能概要说明总表</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1350"/>
        <w:gridCol w:w="1770"/>
        <w:gridCol w:w="2025"/>
        <w:gridCol w:w="2025"/>
      </w:tblGrid>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一级模块</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二级功能</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适用终端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功能简述</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目标用户</w:t>
            </w:r>
          </w:p>
        </w:tc>
      </w:tr>
      <w:tr>
        <w:tc>
          <w:tcPr>
            <w:tcW w:w="10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首页工作台</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数据看板</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移动端/PC端</w:t>
            </w:r>
          </w:p>
          <w:p>
            <w:pPr>
              <w:spacing w:before="120" w:after="120" w:line="288" w:lineRule="auto"/>
              <w:ind w:left="0"/>
              <w:jc w:val="left"/>
            </w:pP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展示入驻企业数、累计商机数等核心指标</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全体用户</w:t>
            </w:r>
          </w:p>
        </w:tc>
      </w:tr>
      <w:tr>
        <w:tc>
          <w:tcPr>
            <w:tcW w:w="1095" w:type="dxa"/>
            <w:v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快捷发布</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移动端/PC端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提供发布采购需求、供应能力的快捷入口</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全体用户</w:t>
            </w:r>
          </w:p>
        </w:tc>
      </w:tr>
      <w:tr>
        <w:tc>
          <w:tcPr>
            <w:tcW w:w="1095" w:type="dxa"/>
            <w:v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智能推荐</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移动端/PC端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基于用户行业及其他偏好，推荐最新优质商机</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全体用户</w:t>
            </w:r>
          </w:p>
        </w:tc>
      </w:tr>
      <w:tr>
        <w:tc>
          <w:tcPr>
            <w:tcW w:w="10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商机广场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复合检索</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移动端/PC端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按供需类型、行业、品类、地区筛选商机</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全体用户</w:t>
            </w:r>
          </w:p>
        </w:tc>
      </w:tr>
      <w:tr>
        <w:tc>
          <w:tcPr>
            <w:tcW w:w="1095" w:type="dxa"/>
            <w:v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商机列表</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移动端/PC端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展示商机标题、发布方、时间、核心标签等</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全体用户</w:t>
            </w:r>
          </w:p>
        </w:tc>
      </w:tr>
      <w:tr>
        <w:tc>
          <w:tcPr>
            <w:tcW w:w="1095" w:type="dxa"/>
            <w:v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商机详情与互动</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移动端/PC端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查看需求详情，发起“交换联系方式”请求</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全体用户</w:t>
            </w:r>
          </w:p>
        </w:tc>
      </w:tr>
      <w:tr>
        <w:tc>
          <w:tcPr>
            <w:tcW w:w="10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企业名录</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企业全景展示</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移动端/PC端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展示企业基本信息、主营业务、资质标签</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全体用户</w:t>
            </w:r>
          </w:p>
        </w:tc>
      </w:tr>
      <w:tr>
        <w:tc>
          <w:tcPr>
            <w:tcW w:w="1095" w:type="dxa"/>
            <w:v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企业认领</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移动端/PC端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提交证明材料认领企业，解锁主页管理权限</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企业主/管理员</w:t>
            </w:r>
          </w:p>
        </w:tc>
      </w:tr>
      <w:tr>
        <w:tc>
          <w:tcPr>
            <w:tcW w:w="1095" w:type="dxa"/>
            <w:v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企业主页</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移动端/PC端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集中展示该企业发布的所有供需信息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全体用户</w:t>
            </w:r>
          </w:p>
        </w:tc>
      </w:tr>
      <w:tr>
        <w:tc>
          <w:tcPr>
            <w:tcW w:w="10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平台管理中心</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数据大盘</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多维度数据统计图表，辅助业务决策</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平台运营/管理员</w:t>
            </w:r>
          </w:p>
          <w:p>
            <w:pPr>
              <w:spacing w:before="120" w:after="120" w:line="288" w:lineRule="auto"/>
              <w:ind w:left="0"/>
              <w:jc w:val="left"/>
            </w:pPr>
          </w:p>
        </w:tc>
      </w:tr>
      <w:tr>
        <w:tc>
          <w:tcPr>
            <w:tcW w:w="1095" w:type="dxa"/>
            <w:v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审核管理</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企业入驻资质审核、商机内容合规性审核</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平台运营</w:t>
            </w:r>
          </w:p>
        </w:tc>
      </w:tr>
      <w:tr>
        <w:tc>
          <w:tcPr>
            <w:tcW w:w="1095" w:type="dxa"/>
            <w:v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字典管理</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PC端</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配置行业分类、产品品类、企业标签等基础数据</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平台运营/管理员</w:t>
            </w:r>
          </w:p>
        </w:tc>
      </w:tr>
    </w:tbl>
    <w:p>
      <w:pPr>
        <w:pStyle w:val="3"/>
        <w:spacing w:before="300" w:after="120" w:line="288" w:lineRule="auto"/>
        <w:ind w:left="0"/>
        <w:jc w:val="left"/>
        <w:outlineLvl w:val="2"/>
      </w:pPr>
      <w:bookmarkStart w:name="heading_9" w:id="9"/>
      <w:r>
        <w:rPr>
          <w:rFonts w:eastAsia="等线" w:ascii="Arial" w:cs="Arial" w:hAnsi="Arial"/>
          <w:b w:val="true"/>
          <w:sz w:val="30"/>
        </w:rPr>
        <w:t>1. 首页工作台 (Home Dashboard)</w:t>
      </w:r>
      <w:bookmarkEnd w:id="9"/>
    </w:p>
    <w:p>
      <w:pPr>
        <w:spacing w:before="120" w:after="120" w:line="288" w:lineRule="auto"/>
        <w:ind w:left="0"/>
        <w:jc w:val="left"/>
      </w:pPr>
      <w:r>
        <w:rPr>
          <w:rFonts w:eastAsia="等线" w:ascii="Arial" w:cs="Arial" w:hAnsi="Arial"/>
          <w:sz w:val="22"/>
        </w:rPr>
        <w:t>作为用户登录后的第一触点，承担数据昭示与流量分发任务。</w:t>
      </w:r>
    </w:p>
    <w:p>
      <w:pPr>
        <w:numPr>
          <w:numId w:val="9"/>
        </w:numPr>
        <w:spacing w:before="120" w:after="120" w:line="288" w:lineRule="auto"/>
        <w:ind w:left="0"/>
        <w:jc w:val="left"/>
      </w:pPr>
      <w:r>
        <w:rPr>
          <w:rFonts w:eastAsia="等线" w:ascii="Arial" w:cs="Arial" w:hAnsi="Arial"/>
          <w:b w:val="true"/>
          <w:sz w:val="22"/>
        </w:rPr>
        <w:t>1.1 核心数据看板</w:t>
      </w:r>
      <w:r>
        <w:rPr>
          <w:rFonts w:eastAsia="等线" w:ascii="Arial" w:cs="Arial" w:hAnsi="Arial"/>
          <w:sz w:val="22"/>
        </w:rPr>
        <w:t>：展示“入驻校友企业数”、“累计商机数”等，增强信任感。（移动端以精简卡片呈现，PC端展示详细图表）</w:t>
      </w:r>
    </w:p>
    <w:p>
      <w:pPr>
        <w:numPr>
          <w:numId w:val="10"/>
        </w:numPr>
        <w:spacing w:before="120" w:after="120" w:line="288" w:lineRule="auto"/>
        <w:ind w:left="0"/>
        <w:jc w:val="left"/>
      </w:pPr>
      <w:r>
        <w:rPr>
          <w:rFonts w:eastAsia="等线" w:ascii="Arial" w:cs="Arial" w:hAnsi="Arial"/>
          <w:b w:val="true"/>
          <w:sz w:val="22"/>
        </w:rPr>
        <w:t>1.2 快捷发布矩阵</w:t>
      </w:r>
      <w:r>
        <w:rPr>
          <w:rFonts w:eastAsia="等线" w:ascii="Arial" w:cs="Arial" w:hAnsi="Arial"/>
          <w:sz w:val="22"/>
        </w:rPr>
        <w:t>：提供“发布采购需求”与“发布供应能力”的快捷入口。</w:t>
      </w:r>
    </w:p>
    <w:p>
      <w:pPr>
        <w:numPr>
          <w:numId w:val="11"/>
        </w:numPr>
        <w:spacing w:before="120" w:after="120" w:line="288" w:lineRule="auto"/>
        <w:ind w:left="0"/>
        <w:jc w:val="left"/>
      </w:pPr>
      <w:r>
        <w:rPr>
          <w:rFonts w:eastAsia="等线" w:ascii="Arial" w:cs="Arial" w:hAnsi="Arial"/>
          <w:b w:val="true"/>
          <w:sz w:val="22"/>
        </w:rPr>
        <w:t>1.3 智能推荐引擎</w:t>
      </w:r>
      <w:r>
        <w:rPr>
          <w:rFonts w:eastAsia="等线" w:ascii="Arial" w:cs="Arial" w:hAnsi="Arial"/>
          <w:sz w:val="22"/>
        </w:rPr>
        <w:t>：基于用户所属行业及偏好，推荐最新优质商机。</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506"/>
        <w:gridCol w:w="5773"/>
      </w:tblGrid>
      <w:tr>
        <w:tc>
          <w:tcPr>
            <w:tcW w:w="2506" w:type="dxa"/>
            <w:tcMar>
              <w:top w:type="dxa" w:w="60"/>
              <w:left w:type="dxa" w:w="120"/>
              <w:bottom w:type="dxa" w:w="30"/>
              <w:right w:type="dxa" w:w="120"/>
            </w:tcMar>
          </w:tcPr>
          <w:p>
            <w:pPr>
              <w:spacing w:before="120" w:after="120" w:line="288" w:lineRule="auto"/>
              <w:ind w:left="0"/>
              <w:jc w:val="left"/>
            </w:pPr>
            <w:r>
              <w:drawing>
                <wp:inline distT="0" distR="0" distB="0" distL="0">
                  <wp:extent cx="1438275" cy="29051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1438275" cy="29051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移动端-首页</w:t>
            </w:r>
          </w:p>
        </w:tc>
        <w:tc>
          <w:tcPr>
            <w:tcW w:w="5773" w:type="dxa"/>
            <w:tcMar>
              <w:top w:type="dxa" w:w="60"/>
              <w:left w:type="dxa" w:w="120"/>
              <w:bottom w:type="dxa" w:w="30"/>
              <w:right w:type="dxa" w:w="120"/>
            </w:tcMar>
          </w:tcPr>
          <w:p>
            <w:pPr>
              <w:spacing w:before="120" w:after="120" w:line="288" w:lineRule="auto"/>
              <w:ind w:left="0"/>
              <w:jc w:val="right"/>
            </w:pPr>
            <w:r>
              <w:drawing>
                <wp:inline distT="0" distR="0" distB="0" distL="0">
                  <wp:extent cx="3505200" cy="30480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3505200" cy="30480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PC端-首页</w:t>
            </w:r>
          </w:p>
        </w:tc>
      </w:tr>
    </w:tbl>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0" w:id="10"/>
      <w:r>
        <w:rPr>
          <w:rFonts w:eastAsia="等线" w:ascii="Arial" w:cs="Arial" w:hAnsi="Arial"/>
          <w:b w:val="true"/>
          <w:sz w:val="30"/>
        </w:rPr>
        <w:t>2. 商机广场 (Opportunity Square)</w:t>
      </w:r>
      <w:bookmarkEnd w:id="10"/>
    </w:p>
    <w:p>
      <w:pPr>
        <w:spacing w:before="120" w:after="120" w:line="288" w:lineRule="auto"/>
        <w:ind w:left="0"/>
        <w:jc w:val="left"/>
      </w:pPr>
      <w:r>
        <w:rPr>
          <w:rFonts w:eastAsia="等线" w:ascii="Arial" w:cs="Arial" w:hAnsi="Arial"/>
          <w:sz w:val="22"/>
        </w:rPr>
        <w:t>平台核心流量池，解决供需双方“找不到、找不准”的痛点。</w:t>
      </w:r>
    </w:p>
    <w:p>
      <w:pPr>
        <w:numPr>
          <w:numId w:val="12"/>
        </w:numPr>
        <w:spacing w:before="120" w:after="120" w:line="288" w:lineRule="auto"/>
        <w:ind w:left="0"/>
        <w:jc w:val="left"/>
      </w:pPr>
      <w:r>
        <w:rPr>
          <w:rFonts w:eastAsia="等线" w:ascii="Arial" w:cs="Arial" w:hAnsi="Arial"/>
          <w:b w:val="true"/>
          <w:sz w:val="22"/>
        </w:rPr>
        <w:t>2.1 多维复合检索</w:t>
      </w:r>
      <w:r>
        <w:rPr>
          <w:rFonts w:eastAsia="等线" w:ascii="Arial" w:cs="Arial" w:hAnsi="Arial"/>
          <w:sz w:val="22"/>
        </w:rPr>
        <w:t>：支持按供需类型、行业、品类、地区筛选。（移动端采用顶部下拉筛选，PC端采用左侧/顶部平铺筛选）</w:t>
      </w:r>
    </w:p>
    <w:p>
      <w:pPr>
        <w:numPr>
          <w:numId w:val="13"/>
        </w:numPr>
        <w:spacing w:before="120" w:after="120" w:line="288" w:lineRule="auto"/>
        <w:ind w:left="0"/>
        <w:jc w:val="left"/>
      </w:pPr>
      <w:r>
        <w:rPr>
          <w:rFonts w:eastAsia="等线" w:ascii="Arial" w:cs="Arial" w:hAnsi="Arial"/>
          <w:b w:val="true"/>
          <w:sz w:val="22"/>
        </w:rPr>
        <w:t>2.2 商机卡片展示</w:t>
      </w:r>
      <w:r>
        <w:rPr>
          <w:rFonts w:eastAsia="等线" w:ascii="Arial" w:cs="Arial" w:hAnsi="Arial"/>
          <w:sz w:val="22"/>
        </w:rPr>
        <w:t>：直观展示标题、发布方、时间、核心标签（如：车规级、IATF16949等）。</w:t>
      </w:r>
    </w:p>
    <w:p>
      <w:pPr>
        <w:numPr>
          <w:numId w:val="14"/>
        </w:numPr>
        <w:spacing w:before="120" w:after="120" w:line="288" w:lineRule="auto"/>
        <w:ind w:left="0"/>
        <w:jc w:val="left"/>
      </w:pPr>
      <w:r>
        <w:rPr>
          <w:rFonts w:eastAsia="等线" w:ascii="Arial" w:cs="Arial" w:hAnsi="Arial"/>
          <w:b w:val="true"/>
          <w:sz w:val="22"/>
        </w:rPr>
        <w:t>2.3 商机详情与互动</w:t>
      </w:r>
      <w:r>
        <w:rPr>
          <w:rFonts w:eastAsia="等线" w:ascii="Arial" w:cs="Arial" w:hAnsi="Arial"/>
          <w:sz w:val="22"/>
        </w:rPr>
        <w:t>：展示详细需求，提供“交换联系方式”功能，双方确认后解锁真实联络方式。</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242"/>
        <w:gridCol w:w="6037"/>
      </w:tblGrid>
      <w:tr>
        <w:tc>
          <w:tcPr>
            <w:tcW w:w="2242" w:type="dxa"/>
            <w:tcMar>
              <w:top w:type="dxa" w:w="60"/>
              <w:left w:type="dxa" w:w="120"/>
              <w:bottom w:type="dxa" w:w="30"/>
              <w:right w:type="dxa" w:w="120"/>
            </w:tcMar>
          </w:tcPr>
          <w:p>
            <w:pPr>
              <w:spacing w:before="120" w:after="120" w:line="288" w:lineRule="auto"/>
              <w:ind w:left="0"/>
              <w:jc w:val="left"/>
            </w:pPr>
            <w:r>
              <w:drawing>
                <wp:inline distT="0" distR="0" distB="0" distL="0">
                  <wp:extent cx="1266825" cy="26670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266825" cy="26670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移动端-商机广场</w:t>
            </w:r>
          </w:p>
        </w:tc>
        <w:tc>
          <w:tcPr>
            <w:tcW w:w="6037" w:type="dxa"/>
            <w:tcMar>
              <w:top w:type="dxa" w:w="60"/>
              <w:left w:type="dxa" w:w="120"/>
              <w:bottom w:type="dxa" w:w="30"/>
              <w:right w:type="dxa" w:w="120"/>
            </w:tcMar>
          </w:tcPr>
          <w:p>
            <w:pPr>
              <w:spacing w:before="120" w:after="120" w:line="288" w:lineRule="auto"/>
              <w:ind w:left="0"/>
              <w:jc w:val="right"/>
            </w:pPr>
            <w:r>
              <w:drawing>
                <wp:inline distT="0" distR="0" distB="0" distL="0">
                  <wp:extent cx="3676650" cy="28384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3676650" cy="28384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PC端-商机广场</w:t>
            </w:r>
          </w:p>
        </w:tc>
      </w:tr>
    </w:tbl>
    <w:p>
      <w:pPr>
        <w:pStyle w:val="3"/>
        <w:spacing w:before="300" w:after="120" w:line="288" w:lineRule="auto"/>
        <w:ind w:left="0"/>
        <w:jc w:val="left"/>
        <w:outlineLvl w:val="2"/>
      </w:pPr>
      <w:bookmarkStart w:name="heading_11" w:id="11"/>
      <w:r>
        <w:rPr>
          <w:rFonts w:eastAsia="等线" w:ascii="Arial" w:cs="Arial" w:hAnsi="Arial"/>
          <w:b w:val="true"/>
          <w:sz w:val="30"/>
        </w:rPr>
        <w:t>3. 企业名录 (Enterprise Directory)</w:t>
      </w:r>
      <w:bookmarkEnd w:id="11"/>
    </w:p>
    <w:p>
      <w:pPr>
        <w:spacing w:before="120" w:after="120" w:line="288" w:lineRule="auto"/>
        <w:ind w:left="0"/>
        <w:jc w:val="left"/>
      </w:pPr>
      <w:r>
        <w:rPr>
          <w:rFonts w:eastAsia="等线" w:ascii="Arial" w:cs="Arial" w:hAnsi="Arial"/>
          <w:sz w:val="22"/>
        </w:rPr>
        <w:t>构建可信的校友企业黄页，沉淀平台商业资产。</w:t>
      </w:r>
    </w:p>
    <w:p>
      <w:pPr>
        <w:numPr>
          <w:numId w:val="15"/>
        </w:numPr>
        <w:spacing w:before="120" w:after="120" w:line="288" w:lineRule="auto"/>
        <w:ind w:left="0"/>
        <w:jc w:val="left"/>
      </w:pPr>
      <w:r>
        <w:rPr>
          <w:rFonts w:eastAsia="等线" w:ascii="Arial" w:cs="Arial" w:hAnsi="Arial"/>
          <w:b w:val="true"/>
          <w:sz w:val="22"/>
        </w:rPr>
        <w:t>3.1 企业全景展示</w:t>
      </w:r>
      <w:r>
        <w:rPr>
          <w:rFonts w:eastAsia="等线" w:ascii="Arial" w:cs="Arial" w:hAnsi="Arial"/>
          <w:sz w:val="22"/>
        </w:rPr>
        <w:t>：展示企业基本信息、主营业务、核心产品及权威资质（如高新技术企业）。</w:t>
      </w:r>
    </w:p>
    <w:p>
      <w:pPr>
        <w:numPr>
          <w:numId w:val="16"/>
        </w:numPr>
        <w:spacing w:before="120" w:after="120" w:line="288" w:lineRule="auto"/>
        <w:ind w:left="0"/>
        <w:jc w:val="left"/>
      </w:pPr>
      <w:r>
        <w:rPr>
          <w:rFonts w:eastAsia="等线" w:ascii="Arial" w:cs="Arial" w:hAnsi="Arial"/>
          <w:b w:val="true"/>
          <w:sz w:val="22"/>
        </w:rPr>
        <w:t>3.2 企业认领机制</w:t>
      </w:r>
      <w:r>
        <w:rPr>
          <w:rFonts w:eastAsia="等线" w:ascii="Arial" w:cs="Arial" w:hAnsi="Arial"/>
          <w:sz w:val="22"/>
        </w:rPr>
        <w:t>：支持真实企业主提交材料认领企业，解锁更多权限。</w:t>
      </w:r>
    </w:p>
    <w:p>
      <w:pPr>
        <w:numPr>
          <w:numId w:val="17"/>
        </w:numPr>
        <w:spacing w:before="120" w:after="120" w:line="288" w:lineRule="auto"/>
        <w:ind w:left="0"/>
        <w:jc w:val="left"/>
      </w:pPr>
      <w:r>
        <w:rPr>
          <w:rFonts w:eastAsia="等线" w:ascii="Arial" w:cs="Arial" w:hAnsi="Arial"/>
          <w:b w:val="true"/>
          <w:sz w:val="22"/>
        </w:rPr>
        <w:t>3.3 企业主页聚合</w:t>
      </w:r>
      <w:r>
        <w:rPr>
          <w:rFonts w:eastAsia="等线" w:ascii="Arial" w:cs="Arial" w:hAnsi="Arial"/>
          <w:sz w:val="22"/>
        </w:rPr>
        <w:t>：集中展示该企业发布的所有采购需求与供应能力。</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56"/>
        <w:gridCol w:w="5523"/>
      </w:tblGrid>
      <w:tr>
        <w:tc>
          <w:tcPr>
            <w:tcW w:w="2756" w:type="dxa"/>
            <w:tcMar>
              <w:top w:type="dxa" w:w="60"/>
              <w:left w:type="dxa" w:w="120"/>
              <w:bottom w:type="dxa" w:w="30"/>
              <w:right w:type="dxa" w:w="120"/>
            </w:tcMar>
          </w:tcPr>
          <w:p>
            <w:pPr>
              <w:spacing w:before="120" w:after="120" w:line="288" w:lineRule="auto"/>
              <w:ind w:left="0"/>
              <w:jc w:val="left"/>
            </w:pPr>
            <w:r>
              <w:drawing>
                <wp:inline distT="0" distR="0" distB="0" distL="0">
                  <wp:extent cx="1590675" cy="32670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1590675" cy="32670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移动端-企业名录</w:t>
            </w:r>
          </w:p>
        </w:tc>
        <w:tc>
          <w:tcPr>
            <w:tcW w:w="5523" w:type="dxa"/>
            <w:tcMar>
              <w:top w:type="dxa" w:w="60"/>
              <w:left w:type="dxa" w:w="120"/>
              <w:bottom w:type="dxa" w:w="30"/>
              <w:right w:type="dxa" w:w="120"/>
            </w:tcMar>
          </w:tcPr>
          <w:p>
            <w:pPr>
              <w:spacing w:before="120" w:after="120" w:line="288" w:lineRule="auto"/>
              <w:ind w:left="0"/>
              <w:jc w:val="right"/>
            </w:pPr>
            <w:r>
              <w:drawing>
                <wp:inline distT="0" distR="0" distB="0" distL="0">
                  <wp:extent cx="3352800" cy="34004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3352800" cy="34004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PC端-企业名录</w:t>
            </w:r>
          </w:p>
        </w:tc>
      </w:tr>
    </w:tbl>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4. 平台管理中心 (Admin Control Panel - 仅PC端)</w:t>
      </w:r>
      <w:bookmarkEnd w:id="12"/>
    </w:p>
    <w:p>
      <w:pPr>
        <w:spacing w:before="120" w:after="120" w:line="288" w:lineRule="auto"/>
        <w:ind w:left="0"/>
        <w:jc w:val="left"/>
      </w:pPr>
      <w:r>
        <w:rPr>
          <w:rFonts w:eastAsia="等线" w:ascii="Arial" w:cs="Arial" w:hAnsi="Arial"/>
          <w:sz w:val="22"/>
        </w:rPr>
        <w:t>平台的“中枢神经”，保障业务合规与高效运营。</w:t>
      </w:r>
    </w:p>
    <w:p>
      <w:pPr>
        <w:numPr>
          <w:numId w:val="18"/>
        </w:numPr>
        <w:spacing w:before="120" w:after="120" w:line="288" w:lineRule="auto"/>
        <w:ind w:left="0"/>
        <w:jc w:val="left"/>
      </w:pPr>
      <w:r>
        <w:rPr>
          <w:rFonts w:eastAsia="等线" w:ascii="Arial" w:cs="Arial" w:hAnsi="Arial"/>
          <w:b w:val="true"/>
          <w:sz w:val="22"/>
        </w:rPr>
        <w:t>4.1 数据大盘</w:t>
      </w:r>
      <w:r>
        <w:rPr>
          <w:rFonts w:eastAsia="等线" w:ascii="Arial" w:cs="Arial" w:hAnsi="Arial"/>
          <w:sz w:val="22"/>
        </w:rPr>
        <w:t>：多维度数据统计图表，辅助业务决策。</w:t>
      </w:r>
    </w:p>
    <w:p>
      <w:pPr>
        <w:numPr>
          <w:numId w:val="19"/>
        </w:numPr>
        <w:spacing w:before="120" w:after="120" w:line="288" w:lineRule="auto"/>
        <w:ind w:left="0"/>
        <w:jc w:val="left"/>
      </w:pPr>
      <w:r>
        <w:rPr>
          <w:rFonts w:eastAsia="等线" w:ascii="Arial" w:cs="Arial" w:hAnsi="Arial"/>
          <w:b w:val="true"/>
          <w:sz w:val="22"/>
        </w:rPr>
        <w:t>4.2 审核管理</w:t>
      </w:r>
      <w:r>
        <w:rPr>
          <w:rFonts w:eastAsia="等线" w:ascii="Arial" w:cs="Arial" w:hAnsi="Arial"/>
          <w:sz w:val="22"/>
        </w:rPr>
        <w:t>：企业入驻资质审核、商机内容人工/机器辅助审核。</w:t>
      </w:r>
    </w:p>
    <w:p>
      <w:pPr>
        <w:numPr>
          <w:numId w:val="20"/>
        </w:numPr>
        <w:spacing w:before="120" w:after="120" w:line="288" w:lineRule="auto"/>
        <w:ind w:left="0"/>
        <w:jc w:val="left"/>
      </w:pPr>
      <w:r>
        <w:rPr>
          <w:rFonts w:eastAsia="等线" w:ascii="Arial" w:cs="Arial" w:hAnsi="Arial"/>
          <w:b w:val="true"/>
          <w:sz w:val="22"/>
        </w:rPr>
        <w:t>4.3 字典管理</w:t>
      </w:r>
      <w:r>
        <w:rPr>
          <w:rFonts w:eastAsia="等线" w:ascii="Arial" w:cs="Arial" w:hAnsi="Arial"/>
          <w:sz w:val="22"/>
        </w:rPr>
        <w:t>：灵活配置“行业分类”、“产品品类”、“企业标签”等基础数据。</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1460"/>
        <w:gridCol w:w="6819"/>
      </w:tblGrid>
      <w:tr>
        <w:tc>
          <w:tcPr>
            <w:tcW w:w="1460" w:type="dxa"/>
            <w:tcMar>
              <w:top w:type="dxa" w:w="60"/>
              <w:left w:type="dxa" w:w="120"/>
              <w:bottom w:type="dxa" w:w="30"/>
              <w:right w:type="dxa" w:w="120"/>
            </w:tcMar>
          </w:tcPr>
          <w:p>
            <w:pPr>
              <w:spacing w:before="120" w:after="120" w:line="288" w:lineRule="auto"/>
              <w:ind w:left="0"/>
              <w:jc w:val="left"/>
            </w:pPr>
            <w:r>
              <w:drawing>
                <wp:inline distT="0" distR="0" distB="0" distL="0">
                  <wp:extent cx="771525" cy="15811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771525" cy="15811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移动端-平台管理</w:t>
            </w:r>
          </w:p>
        </w:tc>
        <w:tc>
          <w:tcPr>
            <w:tcW w:w="6819" w:type="dxa"/>
            <w:tcMar>
              <w:top w:type="dxa" w:w="60"/>
              <w:left w:type="dxa" w:w="120"/>
              <w:bottom w:type="dxa" w:w="30"/>
              <w:right w:type="dxa" w:w="120"/>
            </w:tcMar>
          </w:tcPr>
          <w:p>
            <w:pPr>
              <w:spacing w:before="120" w:after="120" w:line="288" w:lineRule="auto"/>
              <w:ind w:left="0"/>
              <w:jc w:val="right"/>
            </w:pPr>
            <w:r>
              <w:drawing>
                <wp:inline distT="0" distR="0" distB="0" distL="0">
                  <wp:extent cx="4171950" cy="17907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4171950" cy="17907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PC端-平台管理</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四、 核心业务流程与运营准备</w:t>
      </w:r>
      <w:bookmarkEnd w:id="13"/>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1. 核心业务流程 (商机发布与撮合)</w:t>
      </w:r>
      <w:bookmarkEnd w:id="14"/>
    </w:p>
    <w:p>
      <w:pPr>
        <w:numPr>
          <w:numId w:val="21"/>
        </w:numPr>
        <w:spacing w:before="120" w:after="120" w:line="288" w:lineRule="auto"/>
        <w:ind w:left="0"/>
        <w:jc w:val="left"/>
      </w:pPr>
      <w:r>
        <w:rPr>
          <w:rFonts w:eastAsia="等线" w:ascii="Arial" w:cs="Arial" w:hAnsi="Arial"/>
          <w:b w:val="true"/>
          <w:sz w:val="22"/>
        </w:rPr>
        <w:t>发起</w:t>
      </w:r>
      <w:r>
        <w:rPr>
          <w:rFonts w:eastAsia="等线" w:ascii="Arial" w:cs="Arial" w:hAnsi="Arial"/>
          <w:sz w:val="22"/>
        </w:rPr>
        <w:t>：用户在多端点击“发布商机”。</w:t>
      </w:r>
    </w:p>
    <w:p>
      <w:pPr>
        <w:numPr>
          <w:numId w:val="22"/>
        </w:numPr>
        <w:spacing w:before="120" w:after="120" w:line="288" w:lineRule="auto"/>
        <w:ind w:left="0"/>
        <w:jc w:val="left"/>
      </w:pPr>
      <w:r>
        <w:rPr>
          <w:rFonts w:eastAsia="等线" w:ascii="Arial" w:cs="Arial" w:hAnsi="Arial"/>
          <w:b w:val="true"/>
          <w:sz w:val="22"/>
        </w:rPr>
        <w:t>填写</w:t>
      </w:r>
      <w:r>
        <w:rPr>
          <w:rFonts w:eastAsia="等线" w:ascii="Arial" w:cs="Arial" w:hAnsi="Arial"/>
          <w:sz w:val="22"/>
        </w:rPr>
        <w:t>：选择类型，填写标题、行业/品类/地区、业务标签及详细描述。</w:t>
      </w:r>
    </w:p>
    <w:p>
      <w:pPr>
        <w:numPr>
          <w:numId w:val="23"/>
        </w:numPr>
        <w:spacing w:before="120" w:after="120" w:line="288" w:lineRule="auto"/>
        <w:ind w:left="0"/>
        <w:jc w:val="left"/>
      </w:pPr>
      <w:r>
        <w:rPr>
          <w:rFonts w:eastAsia="等线" w:ascii="Arial" w:cs="Arial" w:hAnsi="Arial"/>
          <w:b w:val="true"/>
          <w:sz w:val="22"/>
        </w:rPr>
        <w:t>审核</w:t>
      </w:r>
      <w:r>
        <w:rPr>
          <w:rFonts w:eastAsia="等线" w:ascii="Arial" w:cs="Arial" w:hAnsi="Arial"/>
          <w:sz w:val="22"/>
        </w:rPr>
        <w:t>：信息进入后台审核池。</w:t>
      </w:r>
    </w:p>
    <w:p>
      <w:pPr>
        <w:numPr>
          <w:numId w:val="24"/>
        </w:numPr>
        <w:spacing w:before="120" w:after="120" w:line="288" w:lineRule="auto"/>
        <w:ind w:left="0"/>
        <w:jc w:val="left"/>
      </w:pPr>
      <w:r>
        <w:rPr>
          <w:rFonts w:eastAsia="等线" w:ascii="Arial" w:cs="Arial" w:hAnsi="Arial"/>
          <w:b w:val="true"/>
          <w:sz w:val="22"/>
        </w:rPr>
        <w:t>分发</w:t>
      </w:r>
      <w:r>
        <w:rPr>
          <w:rFonts w:eastAsia="等线" w:ascii="Arial" w:cs="Arial" w:hAnsi="Arial"/>
          <w:sz w:val="22"/>
        </w:rPr>
        <w:t>：审核通过后同步至“商机广场”及“企业主页”，并触发定向推送。</w:t>
      </w:r>
    </w:p>
    <w:p>
      <w:pPr>
        <w:numPr>
          <w:numId w:val="25"/>
        </w:numPr>
        <w:spacing w:before="120" w:after="120" w:line="288" w:lineRule="auto"/>
        <w:ind w:left="0"/>
        <w:jc w:val="left"/>
      </w:pPr>
      <w:r>
        <w:rPr>
          <w:rFonts w:eastAsia="等线" w:ascii="Arial" w:cs="Arial" w:hAnsi="Arial"/>
          <w:b w:val="true"/>
          <w:sz w:val="22"/>
        </w:rPr>
        <w:t>撮合</w:t>
      </w:r>
      <w:r>
        <w:rPr>
          <w:rFonts w:eastAsia="等线" w:ascii="Arial" w:cs="Arial" w:hAnsi="Arial"/>
          <w:sz w:val="22"/>
        </w:rPr>
        <w:t>：意向方发起“交换联系方式”，发布方同意后互换真实联络方式，转入线下洽谈。</w:t>
      </w:r>
    </w:p>
    <w:p>
      <w:pPr>
        <w:spacing w:before="120" w:after="120" w:line="288" w:lineRule="auto"/>
        <w:ind w:left="453"/>
        <w:jc w:val="left"/>
      </w:pPr>
    </w:p>
    <w:p>
      <w:pPr>
        <w:pStyle w:val="3"/>
        <w:spacing w:before="300" w:after="120" w:line="288" w:lineRule="auto"/>
        <w:ind w:left="0"/>
        <w:jc w:val="left"/>
        <w:outlineLvl w:val="2"/>
      </w:pPr>
      <w:bookmarkStart w:name="heading_15" w:id="15"/>
      <w:r>
        <w:rPr>
          <w:rFonts w:eastAsia="等线" w:ascii="Arial" w:cs="Arial" w:hAnsi="Arial"/>
          <w:b w:val="true"/>
          <w:sz w:val="30"/>
        </w:rPr>
        <w:t>2. 平台冷启动与运营准备</w:t>
      </w:r>
      <w:bookmarkEnd w:id="15"/>
    </w:p>
    <w:p>
      <w:pPr>
        <w:spacing w:before="120" w:after="120" w:line="288" w:lineRule="auto"/>
        <w:ind w:left="0"/>
        <w:jc w:val="left"/>
      </w:pPr>
      <w:r>
        <w:rPr>
          <w:rFonts w:eastAsia="等线" w:ascii="Arial" w:cs="Arial" w:hAnsi="Arial"/>
          <w:sz w:val="22"/>
        </w:rPr>
        <w:t>为保障产品上线后的初步繁荣，需在研发同步进行以下准备工作：</w:t>
      </w:r>
    </w:p>
    <w:p>
      <w:pPr>
        <w:numPr>
          <w:numId w:val="26"/>
        </w:numPr>
        <w:spacing w:before="120" w:after="120" w:line="288" w:lineRule="auto"/>
        <w:ind w:left="0"/>
        <w:jc w:val="left"/>
      </w:pPr>
      <w:r>
        <w:rPr>
          <w:rFonts w:eastAsia="等线" w:ascii="Arial" w:cs="Arial" w:hAnsi="Arial"/>
          <w:b w:val="true"/>
          <w:sz w:val="22"/>
        </w:rPr>
        <w:t>2.1 品类体系配置</w:t>
      </w:r>
      <w:r>
        <w:rPr>
          <w:rFonts w:eastAsia="等线" w:ascii="Arial" w:cs="Arial" w:hAnsi="Arial"/>
          <w:sz w:val="22"/>
        </w:rPr>
        <w:t>：结合燕山大学汽车学院校友企业特性，梳理并预置符合汽车产业链上下游的行业分类、细分品类及专业标签库。</w:t>
      </w:r>
    </w:p>
    <w:p>
      <w:pPr>
        <w:numPr>
          <w:numId w:val="27"/>
        </w:numPr>
        <w:spacing w:before="120" w:after="120" w:line="288" w:lineRule="auto"/>
        <w:ind w:left="0"/>
        <w:jc w:val="left"/>
      </w:pPr>
      <w:r>
        <w:rPr>
          <w:rFonts w:eastAsia="等线" w:ascii="Arial" w:cs="Arial" w:hAnsi="Arial"/>
          <w:b w:val="true"/>
          <w:sz w:val="22"/>
        </w:rPr>
        <w:t>2.2 种子数据冷启动</w:t>
      </w:r>
      <w:r>
        <w:rPr>
          <w:rFonts w:eastAsia="等线" w:ascii="Arial" w:cs="Arial" w:hAnsi="Arial"/>
          <w:sz w:val="22"/>
        </w:rPr>
        <w:t>：平台运营团队需提前定向邀请一批核心校友企业入驻，并协助发布首批高质量的采购需求与供应能力，形成示范效应。</w:t>
      </w:r>
    </w:p>
    <w:p>
      <w:pPr>
        <w:numPr>
          <w:numId w:val="28"/>
        </w:numPr>
        <w:spacing w:before="120" w:after="120" w:line="288" w:lineRule="auto"/>
        <w:ind w:left="0"/>
        <w:jc w:val="left"/>
      </w:pPr>
      <w:r>
        <w:rPr>
          <w:rFonts w:eastAsia="等线" w:ascii="Arial" w:cs="Arial" w:hAnsi="Arial"/>
          <w:b w:val="true"/>
          <w:sz w:val="22"/>
        </w:rPr>
        <w:t>2.3 运营规范制定</w:t>
      </w:r>
      <w:r>
        <w:rPr>
          <w:rFonts w:eastAsia="等线" w:ascii="Arial" w:cs="Arial" w:hAnsi="Arial"/>
          <w:sz w:val="22"/>
        </w:rPr>
        <w:t>：确立企业认证标准、商机审核规范及违规处理机制。</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五、 非功能性需求</w:t>
      </w:r>
      <w:bookmarkEnd w:id="16"/>
    </w:p>
    <w:p>
      <w:pPr>
        <w:numPr>
          <w:numId w:val="29"/>
        </w:numPr>
        <w:spacing w:before="120" w:after="120" w:line="288" w:lineRule="auto"/>
        <w:ind w:left="0"/>
        <w:jc w:val="left"/>
      </w:pPr>
      <w:r>
        <w:rPr>
          <w:rFonts w:eastAsia="等线" w:ascii="Arial" w:cs="Arial" w:hAnsi="Arial"/>
          <w:b w:val="true"/>
          <w:sz w:val="22"/>
        </w:rPr>
        <w:t>性能</w:t>
      </w:r>
      <w:r>
        <w:rPr>
          <w:rFonts w:eastAsia="等线" w:ascii="Arial" w:cs="Arial" w:hAnsi="Arial"/>
          <w:sz w:val="22"/>
        </w:rPr>
        <w:t>：核心页面首屏加载时间不超过 3 秒；支持校友会活动期间的高并发访问。</w:t>
      </w:r>
    </w:p>
    <w:p>
      <w:pPr>
        <w:numPr>
          <w:numId w:val="30"/>
        </w:numPr>
        <w:spacing w:before="120" w:after="120" w:line="288" w:lineRule="auto"/>
        <w:ind w:left="0"/>
        <w:jc w:val="left"/>
      </w:pPr>
      <w:r>
        <w:rPr>
          <w:rFonts w:eastAsia="等线" w:ascii="Arial" w:cs="Arial" w:hAnsi="Arial"/>
          <w:b w:val="true"/>
          <w:sz w:val="22"/>
        </w:rPr>
        <w:t>安全</w:t>
      </w:r>
      <w:r>
        <w:rPr>
          <w:rFonts w:eastAsia="等线" w:ascii="Arial" w:cs="Arial" w:hAnsi="Arial"/>
          <w:sz w:val="22"/>
        </w:rPr>
        <w:t>：用户真实联系方式默认隐藏；严格的基于角色的访问控制（RBAC）。</w:t>
      </w:r>
    </w:p>
    <w:p>
      <w:pPr>
        <w:numPr>
          <w:numId w:val="31"/>
        </w:numPr>
        <w:spacing w:before="120" w:after="120" w:line="288" w:lineRule="auto"/>
        <w:ind w:left="0"/>
        <w:jc w:val="left"/>
      </w:pPr>
      <w:r>
        <w:rPr>
          <w:rFonts w:eastAsia="等线" w:ascii="Arial" w:cs="Arial" w:hAnsi="Arial"/>
          <w:b w:val="true"/>
          <w:sz w:val="22"/>
        </w:rPr>
        <w:t>兼容性</w:t>
      </w:r>
      <w:r>
        <w:rPr>
          <w:rFonts w:eastAsia="等线" w:ascii="Arial" w:cs="Arial" w:hAnsi="Arial"/>
          <w:sz w:val="22"/>
        </w:rPr>
        <w:t>：移动端适配主流手机屏幕，PC端兼容主流浏览器。</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六、 总结与演进规划</w:t>
      </w:r>
      <w:bookmarkEnd w:id="17"/>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1. 一期目标：快速上线，验证场景</w:t>
      </w:r>
      <w:bookmarkEnd w:id="18"/>
    </w:p>
    <w:p>
      <w:pPr>
        <w:spacing w:before="120" w:after="120" w:line="288" w:lineRule="auto"/>
        <w:ind w:left="0"/>
        <w:jc w:val="left"/>
      </w:pPr>
      <w:r>
        <w:rPr>
          <w:rFonts w:eastAsia="等线" w:ascii="Arial" w:cs="Arial" w:hAnsi="Arial"/>
          <w:sz w:val="22"/>
        </w:rPr>
        <w:t>本期作为“校链通”的MVP（最小可行性产品）版本，核心目标是</w:t>
      </w:r>
      <w:r>
        <w:rPr>
          <w:rFonts w:eastAsia="等线" w:ascii="Arial" w:cs="Arial" w:hAnsi="Arial"/>
          <w:b w:val="true"/>
          <w:sz w:val="22"/>
        </w:rPr>
        <w:t>快速上线</w:t>
      </w:r>
      <w:r>
        <w:rPr>
          <w:rFonts w:eastAsia="等线" w:ascii="Arial" w:cs="Arial" w:hAnsi="Arial"/>
          <w:sz w:val="22"/>
        </w:rPr>
        <w:t>，依托燕山大学汽车学院校友会供应链分会的资源优势，跑通“供需信息发布-检索-交换联系方式”的核心撮合场景，验证校友间商业互信的业务价值。</w:t>
      </w: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2. 后续迭代：业务深化，转化引导</w:t>
      </w:r>
      <w:bookmarkEnd w:id="19"/>
    </w:p>
    <w:p>
      <w:pPr>
        <w:spacing w:before="120" w:after="120" w:line="288" w:lineRule="auto"/>
        <w:ind w:left="0"/>
        <w:jc w:val="left"/>
      </w:pPr>
      <w:r>
        <w:rPr>
          <w:rFonts w:eastAsia="等线" w:ascii="Arial" w:cs="Arial" w:hAnsi="Arial"/>
          <w:sz w:val="22"/>
        </w:rPr>
        <w:t>在验证信息撮合场景后，后续迭代将从单纯的“信息匹配”向深度的“业务协同”延伸。</w:t>
      </w:r>
    </w:p>
    <w:p>
      <w:pPr>
        <w:spacing w:before="120" w:after="120" w:line="288" w:lineRule="auto"/>
        <w:ind w:left="0"/>
        <w:jc w:val="left"/>
      </w:pPr>
      <w:r>
        <w:rPr>
          <w:rFonts w:eastAsia="等线" w:ascii="Arial" w:cs="Arial" w:hAnsi="Arial"/>
          <w:sz w:val="22"/>
        </w:rPr>
        <w:t>当企业在校链通平台上产生更深度的供应链协同诉求（如：询报价流转、订单执行、收发货协同、财务对账与结算等）时，考虑到制造型企业在核心业务闭环上的流程差异性与高度定制化特征，平台将通过数据价值的呈现与标准功能边界的设置，自然地引导有深度需求的企业转化为我们现有的</w:t>
      </w:r>
      <w:r>
        <w:rPr>
          <w:rFonts w:eastAsia="等线" w:ascii="Arial" w:cs="Arial" w:hAnsi="Arial"/>
          <w:b w:val="true"/>
          <w:sz w:val="22"/>
        </w:rPr>
        <w:t>成熟 SRM (供应商关系管理) 系统的正式客户</w:t>
      </w:r>
      <w:r>
        <w:rPr>
          <w:rFonts w:eastAsia="等线" w:ascii="Arial" w:cs="Arial" w:hAnsi="Arial"/>
          <w:sz w:val="22"/>
        </w:rPr>
        <w:t>。我们将依托成熟的产品底座，为企业提供</w:t>
      </w:r>
      <w:r>
        <w:rPr>
          <w:rFonts w:eastAsia="等线" w:ascii="Arial" w:cs="Arial" w:hAnsi="Arial"/>
          <w:b w:val="true"/>
          <w:sz w:val="22"/>
        </w:rPr>
        <w:t>贴合其实际业务场景的本地化实施与定制化部署服务</w:t>
      </w:r>
      <w:r>
        <w:rPr>
          <w:rFonts w:eastAsia="等线" w:ascii="Arial" w:cs="Arial" w:hAnsi="Arial"/>
          <w:sz w:val="22"/>
        </w:rPr>
        <w:t>，从而实现从轻量级公共撮合平台到企业级深度业务协同的商业价值转化。</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b w:val="true"/>
          <w:sz w:val="36"/>
        </w:rPr>
        <w:t>补充说明</w:t>
      </w:r>
      <w:bookmarkEnd w:id="20"/>
    </w:p>
    <w:p>
      <w:pPr>
        <w:numPr>
          <w:numId w:val="32"/>
        </w:numPr>
        <w:spacing w:before="120" w:after="120" w:line="288" w:lineRule="auto"/>
        <w:ind w:left="0"/>
        <w:jc w:val="left"/>
      </w:pPr>
      <w:r>
        <w:rPr>
          <w:rFonts w:eastAsia="等线" w:ascii="Arial" w:cs="Arial" w:hAnsi="Arial"/>
          <w:sz w:val="22"/>
        </w:rPr>
        <w:t>校友圈发给客户确认的时候已经去掉，不在本期。</w:t>
      </w:r>
    </w:p>
    <w:p>
      <w:pPr>
        <w:numPr>
          <w:numId w:val="33"/>
        </w:numPr>
        <w:spacing w:before="120" w:after="120" w:line="288" w:lineRule="auto"/>
        <w:ind w:left="0"/>
        <w:jc w:val="left"/>
      </w:pPr>
      <w:r>
        <w:rPr>
          <w:rFonts w:eastAsia="等线" w:ascii="Arial" w:cs="Arial" w:hAnsi="Arial"/>
          <w:sz w:val="22"/>
        </w:rPr>
        <w:t>校友企业注册，需要对接燕大东重人做认证（燕企通 沟通中 推动对接）</w:t>
      </w:r>
    </w:p>
    <w:p>
      <w:pPr>
        <w:numPr>
          <w:numId w:val="34"/>
        </w:numPr>
        <w:spacing w:before="120" w:after="120" w:line="288" w:lineRule="auto"/>
        <w:ind w:left="0"/>
        <w:jc w:val="left"/>
      </w:pPr>
      <w:r>
        <w:rPr>
          <w:rFonts w:eastAsia="等线" w:ascii="Arial" w:cs="Arial" w:hAnsi="Arial"/>
          <w:sz w:val="22"/>
        </w:rPr>
        <w:t>审核机制设计，预审核vs后审核</w:t>
      </w:r>
    </w:p>
    <w:p>
      <w:pPr>
        <w:numPr>
          <w:numId w:val="35"/>
        </w:numPr>
        <w:spacing w:before="120" w:after="120" w:line="288" w:lineRule="auto"/>
        <w:ind w:left="0"/>
        <w:jc w:val="left"/>
      </w:pPr>
      <w:r>
        <w:rPr>
          <w:rFonts w:eastAsia="等线" w:ascii="Arial" w:cs="Arial" w:hAnsi="Arial"/>
          <w:sz w:val="22"/>
        </w:rPr>
        <w:t>表结构设计、标签体系、匹配规则</w:t>
      </w:r>
    </w:p>
    <w:p>
      <w:pPr>
        <w:spacing w:before="120" w:after="120" w:line="288" w:lineRule="auto"/>
        <w:ind w:left="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73890">
    <w:lvl>
      <w:numFmt w:val="bullet"/>
      <w:suff w:val="tab"/>
      <w:lvlText w:val="•"/>
      <w:rPr>
        <w:color w:val="3370ff"/>
      </w:rPr>
    </w:lvl>
  </w:abstractNum>
  <w:abstractNum w:abstractNumId="273891">
    <w:lvl>
      <w:numFmt w:val="bullet"/>
      <w:suff w:val="tab"/>
      <w:lvlText w:val="•"/>
      <w:rPr>
        <w:color w:val="3370ff"/>
      </w:rPr>
    </w:lvl>
  </w:abstractNum>
  <w:abstractNum w:abstractNumId="273892">
    <w:lvl>
      <w:numFmt w:val="bullet"/>
      <w:suff w:val="tab"/>
      <w:lvlText w:val="•"/>
      <w:rPr>
        <w:color w:val="3370ff"/>
      </w:rPr>
    </w:lvl>
  </w:abstractNum>
  <w:abstractNum w:abstractNumId="273893">
    <w:lvl>
      <w:numFmt w:val="bullet"/>
      <w:suff w:val="tab"/>
      <w:lvlText w:val="•"/>
      <w:rPr>
        <w:color w:val="3370ff"/>
      </w:rPr>
    </w:lvl>
  </w:abstractNum>
  <w:abstractNum w:abstractNumId="273894">
    <w:lvl>
      <w:numFmt w:val="bullet"/>
      <w:suff w:val="tab"/>
      <w:lvlText w:val="•"/>
      <w:rPr>
        <w:color w:val="3370ff"/>
      </w:rPr>
    </w:lvl>
  </w:abstractNum>
  <w:abstractNum w:abstractNumId="273895">
    <w:lvl>
      <w:numFmt w:val="bullet"/>
      <w:suff w:val="tab"/>
      <w:lvlText w:val="•"/>
      <w:rPr>
        <w:color w:val="3370ff"/>
      </w:rPr>
    </w:lvl>
  </w:abstractNum>
  <w:abstractNum w:abstractNumId="273896">
    <w:lvl>
      <w:numFmt w:val="bullet"/>
      <w:suff w:val="tab"/>
      <w:lvlText w:val="•"/>
      <w:rPr>
        <w:color w:val="3370ff"/>
      </w:rPr>
    </w:lvl>
  </w:abstractNum>
  <w:abstractNum w:abstractNumId="273897">
    <w:lvl>
      <w:numFmt w:val="bullet"/>
      <w:suff w:val="tab"/>
      <w:lvlText w:val="•"/>
      <w:rPr>
        <w:color w:val="3370ff"/>
      </w:rPr>
    </w:lvl>
  </w:abstractNum>
  <w:abstractNum w:abstractNumId="273898">
    <w:lvl>
      <w:numFmt w:val="bullet"/>
      <w:suff w:val="tab"/>
      <w:lvlText w:val="•"/>
      <w:rPr>
        <w:color w:val="3370ff"/>
      </w:rPr>
    </w:lvl>
  </w:abstractNum>
  <w:abstractNum w:abstractNumId="273899">
    <w:lvl>
      <w:numFmt w:val="bullet"/>
      <w:suff w:val="tab"/>
      <w:lvlText w:val="•"/>
      <w:rPr>
        <w:color w:val="3370ff"/>
      </w:rPr>
    </w:lvl>
  </w:abstractNum>
  <w:abstractNum w:abstractNumId="273900">
    <w:lvl>
      <w:numFmt w:val="bullet"/>
      <w:suff w:val="tab"/>
      <w:lvlText w:val="•"/>
      <w:rPr>
        <w:color w:val="3370ff"/>
      </w:rPr>
    </w:lvl>
  </w:abstractNum>
  <w:abstractNum w:abstractNumId="273901">
    <w:lvl>
      <w:numFmt w:val="bullet"/>
      <w:suff w:val="tab"/>
      <w:lvlText w:val="•"/>
      <w:rPr>
        <w:color w:val="3370ff"/>
      </w:rPr>
    </w:lvl>
  </w:abstractNum>
  <w:abstractNum w:abstractNumId="273902">
    <w:lvl>
      <w:numFmt w:val="bullet"/>
      <w:suff w:val="tab"/>
      <w:lvlText w:val="•"/>
      <w:rPr>
        <w:color w:val="3370ff"/>
      </w:rPr>
    </w:lvl>
  </w:abstractNum>
  <w:abstractNum w:abstractNumId="273903">
    <w:lvl>
      <w:numFmt w:val="bullet"/>
      <w:suff w:val="tab"/>
      <w:lvlText w:val="•"/>
      <w:rPr>
        <w:color w:val="3370ff"/>
      </w:rPr>
    </w:lvl>
  </w:abstractNum>
  <w:abstractNum w:abstractNumId="273904">
    <w:lvl>
      <w:numFmt w:val="bullet"/>
      <w:suff w:val="tab"/>
      <w:lvlText w:val="•"/>
      <w:rPr>
        <w:color w:val="3370ff"/>
      </w:rPr>
    </w:lvl>
  </w:abstractNum>
  <w:abstractNum w:abstractNumId="273905">
    <w:lvl>
      <w:numFmt w:val="bullet"/>
      <w:suff w:val="tab"/>
      <w:lvlText w:val="•"/>
      <w:rPr>
        <w:color w:val="3370ff"/>
      </w:rPr>
    </w:lvl>
  </w:abstractNum>
  <w:abstractNum w:abstractNumId="273906">
    <w:lvl>
      <w:numFmt w:val="bullet"/>
      <w:suff w:val="tab"/>
      <w:lvlText w:val="•"/>
      <w:rPr>
        <w:color w:val="3370ff"/>
      </w:rPr>
    </w:lvl>
  </w:abstractNum>
  <w:abstractNum w:abstractNumId="273907">
    <w:lvl>
      <w:numFmt w:val="bullet"/>
      <w:suff w:val="tab"/>
      <w:lvlText w:val="•"/>
      <w:rPr>
        <w:color w:val="3370ff"/>
      </w:rPr>
    </w:lvl>
  </w:abstractNum>
  <w:abstractNum w:abstractNumId="273908">
    <w:lvl>
      <w:numFmt w:val="bullet"/>
      <w:suff w:val="tab"/>
      <w:lvlText w:val="•"/>
      <w:rPr>
        <w:color w:val="3370ff"/>
      </w:rPr>
    </w:lvl>
  </w:abstractNum>
  <w:abstractNum w:abstractNumId="273909">
    <w:lvl>
      <w:numFmt w:val="bullet"/>
      <w:suff w:val="tab"/>
      <w:lvlText w:val="•"/>
      <w:rPr>
        <w:color w:val="3370ff"/>
      </w:rPr>
    </w:lvl>
  </w:abstractNum>
  <w:abstractNum w:abstractNumId="273910">
    <w:lvl>
      <w:start w:val="1"/>
      <w:numFmt w:val="decimal"/>
      <w:suff w:val="tab"/>
      <w:lvlText w:val="%1."/>
      <w:rPr>
        <w:color w:val="3370ff"/>
      </w:rPr>
    </w:lvl>
  </w:abstractNum>
  <w:abstractNum w:abstractNumId="273911">
    <w:lvl>
      <w:start w:val="2"/>
      <w:numFmt w:val="decimal"/>
      <w:suff w:val="tab"/>
      <w:lvlText w:val="%1."/>
      <w:rPr>
        <w:color w:val="3370ff"/>
      </w:rPr>
    </w:lvl>
  </w:abstractNum>
  <w:abstractNum w:abstractNumId="273912">
    <w:lvl>
      <w:start w:val="3"/>
      <w:numFmt w:val="decimal"/>
      <w:suff w:val="tab"/>
      <w:lvlText w:val="%1."/>
      <w:rPr>
        <w:color w:val="3370ff"/>
      </w:rPr>
    </w:lvl>
  </w:abstractNum>
  <w:abstractNum w:abstractNumId="273913">
    <w:lvl>
      <w:start w:val="4"/>
      <w:numFmt w:val="decimal"/>
      <w:suff w:val="tab"/>
      <w:lvlText w:val="%1."/>
      <w:rPr>
        <w:color w:val="3370ff"/>
      </w:rPr>
    </w:lvl>
  </w:abstractNum>
  <w:abstractNum w:abstractNumId="273914">
    <w:lvl>
      <w:start w:val="5"/>
      <w:numFmt w:val="decimal"/>
      <w:suff w:val="tab"/>
      <w:lvlText w:val="%1."/>
      <w:rPr>
        <w:color w:val="3370ff"/>
      </w:rPr>
    </w:lvl>
  </w:abstractNum>
  <w:abstractNum w:abstractNumId="273915">
    <w:lvl>
      <w:numFmt w:val="bullet"/>
      <w:suff w:val="tab"/>
      <w:lvlText w:val="•"/>
      <w:rPr>
        <w:color w:val="3370ff"/>
      </w:rPr>
    </w:lvl>
  </w:abstractNum>
  <w:abstractNum w:abstractNumId="273916">
    <w:lvl>
      <w:numFmt w:val="bullet"/>
      <w:suff w:val="tab"/>
      <w:lvlText w:val="•"/>
      <w:rPr>
        <w:color w:val="3370ff"/>
      </w:rPr>
    </w:lvl>
  </w:abstractNum>
  <w:abstractNum w:abstractNumId="273917">
    <w:lvl>
      <w:numFmt w:val="bullet"/>
      <w:suff w:val="tab"/>
      <w:lvlText w:val="•"/>
      <w:rPr>
        <w:color w:val="3370ff"/>
      </w:rPr>
    </w:lvl>
  </w:abstractNum>
  <w:abstractNum w:abstractNumId="273918">
    <w:lvl>
      <w:numFmt w:val="bullet"/>
      <w:suff w:val="tab"/>
      <w:lvlText w:val="•"/>
      <w:rPr>
        <w:color w:val="3370ff"/>
      </w:rPr>
    </w:lvl>
  </w:abstractNum>
  <w:abstractNum w:abstractNumId="273919">
    <w:lvl>
      <w:numFmt w:val="bullet"/>
      <w:suff w:val="tab"/>
      <w:lvlText w:val="•"/>
      <w:rPr>
        <w:color w:val="3370ff"/>
      </w:rPr>
    </w:lvl>
  </w:abstractNum>
  <w:abstractNum w:abstractNumId="273920">
    <w:lvl>
      <w:numFmt w:val="bullet"/>
      <w:suff w:val="tab"/>
      <w:lvlText w:val="•"/>
      <w:rPr>
        <w:color w:val="3370ff"/>
      </w:rPr>
    </w:lvl>
  </w:abstractNum>
  <w:abstractNum w:abstractNumId="273921">
    <w:lvl>
      <w:start w:val="1"/>
      <w:numFmt w:val="decimal"/>
      <w:suff w:val="tab"/>
      <w:lvlText w:val="%1."/>
      <w:rPr>
        <w:color w:val="3370ff"/>
      </w:rPr>
    </w:lvl>
  </w:abstractNum>
  <w:abstractNum w:abstractNumId="273922">
    <w:lvl>
      <w:start w:val="2"/>
      <w:numFmt w:val="decimal"/>
      <w:suff w:val="tab"/>
      <w:lvlText w:val="%1."/>
      <w:rPr>
        <w:color w:val="3370ff"/>
      </w:rPr>
    </w:lvl>
  </w:abstractNum>
  <w:abstractNum w:abstractNumId="273923">
    <w:lvl>
      <w:start w:val="3"/>
      <w:numFmt w:val="decimal"/>
      <w:suff w:val="tab"/>
      <w:lvlText w:val="%1."/>
      <w:rPr>
        <w:color w:val="3370ff"/>
      </w:rPr>
    </w:lvl>
  </w:abstractNum>
  <w:abstractNum w:abstractNumId="273924">
    <w:lvl>
      <w:start w:val="4"/>
      <w:numFmt w:val="decimal"/>
      <w:suff w:val="tab"/>
      <w:lvlText w:val="%1."/>
      <w:rPr>
        <w:color w:val="3370ff"/>
      </w:rPr>
    </w:lvl>
  </w:abstractNum>
  <w:num w:numId="1">
    <w:abstractNumId w:val="273890"/>
  </w:num>
  <w:num w:numId="2">
    <w:abstractNumId w:val="273891"/>
  </w:num>
  <w:num w:numId="3">
    <w:abstractNumId w:val="273892"/>
  </w:num>
  <w:num w:numId="4">
    <w:abstractNumId w:val="273893"/>
  </w:num>
  <w:num w:numId="5">
    <w:abstractNumId w:val="273894"/>
  </w:num>
  <w:num w:numId="6">
    <w:abstractNumId w:val="273895"/>
  </w:num>
  <w:num w:numId="7">
    <w:abstractNumId w:val="273896"/>
  </w:num>
  <w:num w:numId="8">
    <w:abstractNumId w:val="273897"/>
  </w:num>
  <w:num w:numId="9">
    <w:abstractNumId w:val="273898"/>
  </w:num>
  <w:num w:numId="10">
    <w:abstractNumId w:val="273899"/>
  </w:num>
  <w:num w:numId="11">
    <w:abstractNumId w:val="273900"/>
  </w:num>
  <w:num w:numId="12">
    <w:abstractNumId w:val="273901"/>
  </w:num>
  <w:num w:numId="13">
    <w:abstractNumId w:val="273902"/>
  </w:num>
  <w:num w:numId="14">
    <w:abstractNumId w:val="273903"/>
  </w:num>
  <w:num w:numId="15">
    <w:abstractNumId w:val="273904"/>
  </w:num>
  <w:num w:numId="16">
    <w:abstractNumId w:val="273905"/>
  </w:num>
  <w:num w:numId="17">
    <w:abstractNumId w:val="273906"/>
  </w:num>
  <w:num w:numId="18">
    <w:abstractNumId w:val="273907"/>
  </w:num>
  <w:num w:numId="19">
    <w:abstractNumId w:val="273908"/>
  </w:num>
  <w:num w:numId="20">
    <w:abstractNumId w:val="273909"/>
  </w:num>
  <w:num w:numId="21">
    <w:abstractNumId w:val="273910"/>
  </w:num>
  <w:num w:numId="22">
    <w:abstractNumId w:val="273911"/>
  </w:num>
  <w:num w:numId="23">
    <w:abstractNumId w:val="273912"/>
  </w:num>
  <w:num w:numId="24">
    <w:abstractNumId w:val="273913"/>
  </w:num>
  <w:num w:numId="25">
    <w:abstractNumId w:val="273914"/>
  </w:num>
  <w:num w:numId="26">
    <w:abstractNumId w:val="273915"/>
  </w:num>
  <w:num w:numId="27">
    <w:abstractNumId w:val="273916"/>
  </w:num>
  <w:num w:numId="28">
    <w:abstractNumId w:val="273917"/>
  </w:num>
  <w:num w:numId="29">
    <w:abstractNumId w:val="273918"/>
  </w:num>
  <w:num w:numId="30">
    <w:abstractNumId w:val="273919"/>
  </w:num>
  <w:num w:numId="31">
    <w:abstractNumId w:val="273920"/>
  </w:num>
  <w:num w:numId="32">
    <w:abstractNumId w:val="273921"/>
  </w:num>
  <w:num w:numId="33">
    <w:abstractNumId w:val="273922"/>
  </w:num>
  <w:num w:numId="34">
    <w:abstractNumId w:val="273923"/>
  </w:num>
  <w:num w:numId="35">
    <w:abstractNumId w:val="27392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2026-03-26T07:48:37Z</dcterms:created>
  <dc:creator>Apache POI</dc:creator>
</cp:coreProperties>
</file>