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023DF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公文格式要求&amp;参考文档</w:t>
      </w:r>
    </w:p>
    <w:p w14:paraId="097035BC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24B9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1．页面：A4版幅，上边距3.7cm、下边距3.5cm、左边距2.8cm、右边距2.6cm，页眉页脚均为1.8cm。</w:t>
      </w:r>
    </w:p>
    <w:p w14:paraId="2698C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2．一级标题：方正小标宋简体二号字，行距固定30磅，段前段后0.5行，居中；</w:t>
      </w:r>
    </w:p>
    <w:p w14:paraId="19E53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二级标题：黑体三号字，行距固定30磅，段前段后0.5行，左对齐缩进2个字符；</w:t>
      </w:r>
    </w:p>
    <w:p w14:paraId="2CFBE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三级标题：楷体_GB2312三号字，行距固定30磅，段前段后0.5行，左对齐缩进2个字符。英文字符使用Times New Roman，注意双引号与标题和正文中文字体保持一致（标题、正文使用方正小标宋、黑体、楷体_GB2312、仿宋_GB2312的，引号也使用对应字体）。</w:t>
      </w:r>
    </w:p>
    <w:p w14:paraId="0CDC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四级及以下标题：仿宋_GB2312三号字，行距固定28磅，段前段后0.5行，左对齐缩进2个字符，英文字符使用Times New Roman，注意双引号与标题和正文中文字体保持一致（标题、正文使用方正小标宋、黑体、楷体_GB2312、仿宋_GB2312的，引号也使用对应字体）。</w:t>
      </w:r>
    </w:p>
    <w:p w14:paraId="4CB19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标题均不加粗，不使用自动生成格式。</w:t>
      </w:r>
    </w:p>
    <w:p w14:paraId="4E39C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3．标题序号：如无篇章节，则按标题级别依次使用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一、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（一）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1．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（1）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①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，如有篇章节，篇章节后按此顺序使用。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特别说明“1．”中的下角点使用全角“．”，不使用半角“.”。</w:t>
      </w:r>
      <w:bookmarkStart w:id="0" w:name="_GoBack"/>
      <w:bookmarkEnd w:id="0"/>
    </w:p>
    <w:p w14:paraId="148A6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4．正文：仿宋_GB2312三号字不加粗，行距固定28磅，段前段后0行；两端对齐，首行缩进2个字符。英文字符使用Times New Roman，注意双引号与标题和正文中文字体保持一致（标题、正文使用方正小标宋、黑体、楷体_GB2312、仿宋_GB2312的，引号也使用对应字体）。</w:t>
      </w:r>
    </w:p>
    <w:p w14:paraId="1CF4C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5．页眉使用仿宋_GB2315仿宋，英文字符使用Times New Roman，注意双引号与标题和正文中文字体保持一致（标题、正文使用方正小标宋、黑体、楷体_GB2312、仿宋_GB2312的，引号也使用对应字体）。页码：宋体、四号、居中。</w:t>
      </w:r>
    </w:p>
    <w:p w14:paraId="3A0AE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6．表格：标题黑体小四号字不加粗，居中，与上面文字空一行，前段后端均为0.5行；表头黑体小四号字不加粗；表格正文仿宋_GB2312小四号字，数字用Times New Roman小四号字；表格后空一行再跟正文文字。均为单倍行距。</w:t>
      </w:r>
    </w:p>
    <w:p w14:paraId="0C248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7．插图：标题黑体小四号字不加粗，居中，位于图下方，图与前后正文空一行。</w:t>
      </w:r>
    </w:p>
    <w:p w14:paraId="2CD86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4FC3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9143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AE0A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17860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</w:p>
    <w:p w14:paraId="01432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一级“标题”123</w:t>
      </w:r>
    </w:p>
    <w:p w14:paraId="7A975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一、二级“标题”123</w:t>
      </w:r>
    </w:p>
    <w:p w14:paraId="54F6B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600" w:lineRule="exact"/>
        <w:ind w:firstLine="640" w:firstLineChars="200"/>
        <w:textAlignment w:val="auto"/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（一）三级“标题”</w:t>
      </w:r>
      <w:r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</w:rPr>
        <w:t>123</w:t>
      </w:r>
    </w:p>
    <w:p w14:paraId="43495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1．四级“标题”</w:t>
      </w:r>
      <w:r>
        <w:rPr>
          <w:rFonts w:hint="eastAsia" w:ascii="Times New Roman" w:hAnsi="Times New Roman" w:eastAsia="楷体_GB2312" w:cs="Times New Roman"/>
          <w:sz w:val="32"/>
          <w:szCs w:val="32"/>
          <w:lang w:val="en-US" w:eastAsia="zh-CN"/>
        </w:rPr>
        <w:t>123</w:t>
      </w:r>
    </w:p>
    <w:p w14:paraId="5EE03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（1）五级“标题”</w:t>
      </w:r>
      <w:r>
        <w:rPr>
          <w:rFonts w:hint="eastAsia" w:ascii="Times New Roman" w:hAnsi="Times New Roman" w:eastAsia="楷体_GB2312" w:cs="Times New Roman"/>
          <w:sz w:val="32"/>
          <w:szCs w:val="32"/>
          <w:lang w:val="en-US" w:eastAsia="zh-CN"/>
        </w:rPr>
        <w:t>123</w:t>
      </w:r>
    </w:p>
    <w:p w14:paraId="2C970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正文参考：合肥与蔚来的合作，超越了传统的招商引资关系，升华为一种深度的Partner关系。其成功精髓在于3个方面：政府的专业判断力、敢于担当的魄力、着眼长远的生态构建能力，与企业的核心技术实力、履行承诺的信誉、以及融入地方发展的意愿实现了完美结合。这个案例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打造“典范”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为未来所有希望在安徽落地的项目，以及安徽省政府如何与企业打交道，提供了极具价值的最佳实践指南。</w:t>
      </w:r>
    </w:p>
    <w:sectPr>
      <w:headerReference r:id="rId3" w:type="default"/>
      <w:footerReference r:id="rId4" w:type="default"/>
      <w:pgSz w:w="11906" w:h="16838"/>
      <w:pgMar w:top="2098" w:right="1474" w:bottom="1984" w:left="1587" w:header="1020" w:footer="1020" w:gutter="0"/>
      <w:paperSrc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8770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4B6E38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4B6E38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0D9A4">
    <w:pPr>
      <w:pStyle w:val="3"/>
      <w:jc w:val="center"/>
      <w:rPr>
        <w:rFonts w:hint="eastAsia" w:ascii="仿宋_GB2312" w:hAnsi="仿宋_GB2312" w:eastAsia="仿宋_GB2312" w:cs="仿宋_GB2312"/>
        <w:sz w:val="24"/>
        <w:szCs w:val="24"/>
        <w:lang w:val="en-US" w:eastAsia="zh-CN"/>
      </w:rPr>
    </w:pPr>
    <w:r>
      <w:rPr>
        <w:rFonts w:hint="eastAsia" w:ascii="仿宋_GB2312" w:hAnsi="仿宋_GB2312" w:eastAsia="仿宋_GB2312" w:cs="仿宋_GB2312"/>
        <w:sz w:val="24"/>
        <w:szCs w:val="24"/>
        <w:lang w:val="en-US" w:eastAsia="zh-CN"/>
      </w:rPr>
      <w:t>这是页眉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D03FD"/>
    <w:rsid w:val="13827730"/>
    <w:rsid w:val="16D56770"/>
    <w:rsid w:val="1B3D0C75"/>
    <w:rsid w:val="1B5B4B1C"/>
    <w:rsid w:val="20444AE0"/>
    <w:rsid w:val="222525CA"/>
    <w:rsid w:val="25356788"/>
    <w:rsid w:val="2B4029D3"/>
    <w:rsid w:val="2F2A082E"/>
    <w:rsid w:val="32B74A8D"/>
    <w:rsid w:val="334E62EB"/>
    <w:rsid w:val="3ADC5C91"/>
    <w:rsid w:val="3BF7516F"/>
    <w:rsid w:val="417846E0"/>
    <w:rsid w:val="4CE84D87"/>
    <w:rsid w:val="54663572"/>
    <w:rsid w:val="54934696"/>
    <w:rsid w:val="576E7A69"/>
    <w:rsid w:val="5DA855F6"/>
    <w:rsid w:val="72034E10"/>
    <w:rsid w:val="733B3A32"/>
    <w:rsid w:val="77C37973"/>
    <w:rsid w:val="7A865511"/>
    <w:rsid w:val="7FF4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2026-02-04T02:12:54Z</dcterms:created>
  <dc:creator>陆柒叁</dc:creator>
  <cp:lastModifiedBy> </cp:lastModifiedBy>
  <dcterms:modified xsi:type="dcterms:W3CDTF">2026-02-04T02:56:07Z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eyJoZGlkIjoiNGU5YTk2NWU3OTRhNTU0YjZlNWE0ODExMjY4YzM0MTgiLCJ1c2VySWQiOiIyMzk4MDY0MTQifQ==</vt:lpwstr>
  </property>
  <property fmtid="{D5CDD505-2E9C-101B-9397-08002B2CF9AE}" pid="4" name="ICV">
    <vt:lpwstr>F8F4D12557EB42D495659584B2EC804E_12</vt:lpwstr>
  </property>
</Properties>
</file>