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20074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44"/>
        </w:rPr>
        <w:t>DINOv3 非金属夹杂物识别</w:t>
      </w:r>
      <w:r>
        <w:rPr>
          <w:rFonts w:ascii="Times New Roman" w:hAnsi="Times New Roman" w:eastAsia="宋体"/>
          <w:b/>
          <w:sz w:val="44"/>
        </w:rPr>
        <w:br w:type="textWrapping"/>
      </w:r>
      <w:r>
        <w:rPr>
          <w:rFonts w:ascii="Times New Roman" w:hAnsi="Times New Roman" w:eastAsia="宋体"/>
          <w:b/>
          <w:sz w:val="44"/>
        </w:rPr>
        <w:t>MVP 改进方案与代码改动清单</w:t>
      </w:r>
    </w:p>
    <w:p w14:paraId="519DF8D8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2"/>
        </w:rPr>
        <w:t>基于 liuhb511/dinov3 当前仓库代码审阅与会话需求整理</w:t>
      </w:r>
    </w:p>
    <w:p w14:paraId="6BE316D4">
      <w:pPr>
        <w:rPr>
          <w:rFonts w:ascii="Times New Roman" w:hAnsi="Times New Roman" w:eastAsia="宋体"/>
        </w:rPr>
      </w:pPr>
    </w:p>
    <w:p w14:paraId="1E655899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</w:rPr>
        <w:t>文档定位：第一阶段只做方案与代码清单整理，不修改原有网络；后续实现时采用独立新目录。</w:t>
      </w:r>
    </w:p>
    <w:p w14:paraId="4449A225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7333FC8B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 任务定义</w:t>
      </w:r>
    </w:p>
    <w:p w14:paraId="357C0450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目标是对金相显微图像中的非金属夹杂物进行像素级识别。训练与推理均以原始物理分辨率下的 1024×1024 patch 为基本输入，推理采用 1024×1024 滑动窗口。最终业务展示只保留夹杂物，噪声类别的主要作用是为模型提供显式困难负样本。</w:t>
      </w:r>
    </w:p>
    <w:p w14:paraId="20C2096D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1.1 类别体系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721"/>
        <w:gridCol w:w="4082"/>
        <w:gridCol w:w="1134"/>
      </w:tblGrid>
      <w:tr w14:paraId="6B7CE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F1435B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分组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74DDB10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类别</w:t>
            </w:r>
          </w:p>
        </w:tc>
        <w:tc>
          <w:tcPr>
            <w:tcW w:w="4082" w:type="dxa"/>
            <w:shd w:val="clear" w:color="auto" w:fill="D9EAF7"/>
            <w:vAlign w:val="center"/>
          </w:tcPr>
          <w:p w14:paraId="3EBE9D9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含义/业务角色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CBBC21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最终展示</w:t>
            </w:r>
          </w:p>
        </w:tc>
      </w:tr>
      <w:tr w14:paraId="3DAC5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1A7610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条状夹杂物</w:t>
            </w:r>
          </w:p>
        </w:tc>
        <w:tc>
          <w:tcPr>
            <w:tcW w:w="2721" w:type="dxa"/>
            <w:vAlign w:val="center"/>
          </w:tcPr>
          <w:p w14:paraId="2A362C4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A、B、C、TINB/TINC、TIND</w:t>
            </w:r>
          </w:p>
        </w:tc>
        <w:tc>
          <w:tcPr>
            <w:tcW w:w="4082" w:type="dxa"/>
            <w:vAlign w:val="center"/>
          </w:tcPr>
          <w:p w14:paraId="12B598F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需要准确识别的目标类别</w:t>
            </w:r>
          </w:p>
        </w:tc>
        <w:tc>
          <w:tcPr>
            <w:tcW w:w="1134" w:type="dxa"/>
            <w:vAlign w:val="center"/>
          </w:tcPr>
          <w:p w14:paraId="089A701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</w:tr>
      <w:tr w14:paraId="5625C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D8372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条状干扰</w:t>
            </w:r>
          </w:p>
        </w:tc>
        <w:tc>
          <w:tcPr>
            <w:tcW w:w="2721" w:type="dxa"/>
            <w:vAlign w:val="center"/>
          </w:tcPr>
          <w:p w14:paraId="38B451B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HH、XW、XQL</w:t>
            </w:r>
          </w:p>
        </w:tc>
        <w:tc>
          <w:tcPr>
            <w:tcW w:w="4082" w:type="dxa"/>
            <w:vAlign w:val="center"/>
          </w:tcPr>
          <w:p w14:paraId="5C539BA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HH=划痕；XW=纤维；XQL=镶嵌料</w:t>
            </w:r>
          </w:p>
        </w:tc>
        <w:tc>
          <w:tcPr>
            <w:tcW w:w="1134" w:type="dxa"/>
            <w:vAlign w:val="center"/>
          </w:tcPr>
          <w:p w14:paraId="094F008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</w:tr>
      <w:tr w14:paraId="6C82F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8D650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点状夹杂物</w:t>
            </w:r>
          </w:p>
        </w:tc>
        <w:tc>
          <w:tcPr>
            <w:tcW w:w="2721" w:type="dxa"/>
            <w:vAlign w:val="center"/>
          </w:tcPr>
          <w:p w14:paraId="618BB3D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D</w:t>
            </w:r>
          </w:p>
        </w:tc>
        <w:tc>
          <w:tcPr>
            <w:tcW w:w="4082" w:type="dxa"/>
            <w:vAlign w:val="center"/>
          </w:tcPr>
          <w:p w14:paraId="3CED4D3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需要准确识别的目标类别</w:t>
            </w:r>
          </w:p>
        </w:tc>
        <w:tc>
          <w:tcPr>
            <w:tcW w:w="1134" w:type="dxa"/>
            <w:vAlign w:val="center"/>
          </w:tcPr>
          <w:p w14:paraId="5978E68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</w:tr>
      <w:tr w14:paraId="6E353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0A0B72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点状干扰</w:t>
            </w:r>
          </w:p>
        </w:tc>
        <w:tc>
          <w:tcPr>
            <w:tcW w:w="2721" w:type="dxa"/>
            <w:vAlign w:val="center"/>
          </w:tcPr>
          <w:p w14:paraId="2E7AE96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HC、SZ</w:t>
            </w:r>
          </w:p>
        </w:tc>
        <w:tc>
          <w:tcPr>
            <w:tcW w:w="4082" w:type="dxa"/>
            <w:vAlign w:val="center"/>
          </w:tcPr>
          <w:p w14:paraId="12B0087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HC=灰尘；SZ=水渍</w:t>
            </w:r>
          </w:p>
        </w:tc>
        <w:tc>
          <w:tcPr>
            <w:tcW w:w="1134" w:type="dxa"/>
            <w:vAlign w:val="center"/>
          </w:tcPr>
          <w:p w14:paraId="0028174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</w:tr>
      <w:tr w14:paraId="4400B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FD9EC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背景</w:t>
            </w:r>
          </w:p>
        </w:tc>
        <w:tc>
          <w:tcPr>
            <w:tcW w:w="2721" w:type="dxa"/>
            <w:vAlign w:val="center"/>
          </w:tcPr>
          <w:p w14:paraId="77D1E81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Background</w:t>
            </w:r>
          </w:p>
        </w:tc>
        <w:tc>
          <w:tcPr>
            <w:tcW w:w="4082" w:type="dxa"/>
            <w:vAlign w:val="center"/>
          </w:tcPr>
          <w:p w14:paraId="06BAD47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正常基体 + 未显式标注的条状/点状未知噪声</w:t>
            </w:r>
          </w:p>
        </w:tc>
        <w:tc>
          <w:tcPr>
            <w:tcW w:w="1134" w:type="dxa"/>
            <w:vAlign w:val="center"/>
          </w:tcPr>
          <w:p w14:paraId="698AF5D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</w:tr>
    </w:tbl>
    <w:p w14:paraId="1C183753">
      <w:pPr>
        <w:rPr>
          <w:rFonts w:ascii="Times New Roman" w:hAnsi="Times New Roman" w:eastAsia="宋体"/>
        </w:rPr>
      </w:pPr>
    </w:p>
    <w:p w14:paraId="2F31A086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1.2 标注与尺度</w:t>
      </w:r>
    </w:p>
    <w:p w14:paraId="14342B05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原始标注来自 LabelMe 5.x，目标以 polygon 形式记录；每一个 shapes[] 元素可直接视为一个训练期对象区域。现有标注不要求改成实例 ID，也不要求重新标注。原图尺寸约 2448×2048，每像素约 0.5448 μm。</w:t>
      </w:r>
    </w:p>
    <w:p w14:paraId="08EACCBB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A 与 C 的人工判定主要依赖颜色/灰度，其次依赖端部形态与整体宽度。因此增强策略必须避免大幅破坏灰度和真实形态。</w:t>
      </w:r>
    </w:p>
    <w:p w14:paraId="551FDE85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 已知错误模式与优化目标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3969"/>
        <w:gridCol w:w="3969"/>
      </w:tblGrid>
      <w:tr w14:paraId="3B04C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AF7"/>
            <w:vAlign w:val="center"/>
          </w:tcPr>
          <w:p w14:paraId="44BAC15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错误模式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3FEAEB3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当前表现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695774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优先优化方向</w:t>
            </w:r>
          </w:p>
        </w:tc>
      </w:tr>
      <w:tr w14:paraId="3882E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3E4A72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A ↔ C</w:t>
            </w:r>
          </w:p>
        </w:tc>
        <w:tc>
          <w:tcPr>
            <w:tcW w:w="3969" w:type="dxa"/>
            <w:vAlign w:val="center"/>
          </w:tcPr>
          <w:p w14:paraId="3AF6841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双向混淆；同一目标内部可能分段为 A/C</w:t>
            </w:r>
          </w:p>
        </w:tc>
        <w:tc>
          <w:tcPr>
            <w:tcW w:w="3969" w:type="dxa"/>
            <w:vAlign w:val="center"/>
          </w:tcPr>
          <w:p w14:paraId="7B03595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中浅层纹理、灰度保留、polygon 一致性</w:t>
            </w:r>
          </w:p>
        </w:tc>
      </w:tr>
      <w:tr w14:paraId="6DD00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331194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HH → A/C</w:t>
            </w:r>
          </w:p>
        </w:tc>
        <w:tc>
          <w:tcPr>
            <w:tcW w:w="3969" w:type="dxa"/>
            <w:vAlign w:val="center"/>
          </w:tcPr>
          <w:p w14:paraId="7993667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划痕容易识别成 A/C，反向较少</w:t>
            </w:r>
          </w:p>
        </w:tc>
        <w:tc>
          <w:tcPr>
            <w:tcW w:w="3969" w:type="dxa"/>
            <w:vAlign w:val="center"/>
          </w:tcPr>
          <w:p w14:paraId="1359A4E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条状专家 + 单向 rejection penalty</w:t>
            </w:r>
          </w:p>
        </w:tc>
      </w:tr>
      <w:tr w14:paraId="3DA3B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1EF4CE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HC → D</w:t>
            </w:r>
          </w:p>
        </w:tc>
        <w:tc>
          <w:tcPr>
            <w:tcW w:w="3969" w:type="dxa"/>
            <w:vAlign w:val="center"/>
          </w:tcPr>
          <w:p w14:paraId="0740204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灰尘易误识别为 D</w:t>
            </w:r>
          </w:p>
        </w:tc>
        <w:tc>
          <w:tcPr>
            <w:tcW w:w="3969" w:type="dxa"/>
            <w:vAlign w:val="center"/>
          </w:tcPr>
          <w:p w14:paraId="2ED54BC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点状专家 + hard negative/OHEM</w:t>
            </w:r>
          </w:p>
        </w:tc>
      </w:tr>
      <w:tr w14:paraId="22E49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12FA87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SZ → D</w:t>
            </w:r>
          </w:p>
        </w:tc>
        <w:tc>
          <w:tcPr>
            <w:tcW w:w="3969" w:type="dxa"/>
            <w:vAlign w:val="center"/>
          </w:tcPr>
          <w:p w14:paraId="3F473D0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水渍局部易误识别为 D</w:t>
            </w:r>
          </w:p>
        </w:tc>
        <w:tc>
          <w:tcPr>
            <w:tcW w:w="3969" w:type="dxa"/>
            <w:vAlign w:val="center"/>
          </w:tcPr>
          <w:p w14:paraId="4215942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点状上下文 + D rejection</w:t>
            </w:r>
          </w:p>
        </w:tc>
      </w:tr>
      <w:tr w14:paraId="65B32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DBFA2F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Background → D</w:t>
            </w:r>
          </w:p>
        </w:tc>
        <w:tc>
          <w:tcPr>
            <w:tcW w:w="3969" w:type="dxa"/>
            <w:vAlign w:val="center"/>
          </w:tcPr>
          <w:p w14:paraId="7F9883F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未知点状/空心/不规则噪声误检</w:t>
            </w:r>
          </w:p>
        </w:tc>
        <w:tc>
          <w:tcPr>
            <w:tcW w:w="3969" w:type="dxa"/>
            <w:vAlign w:val="center"/>
          </w:tcPr>
          <w:p w14:paraId="5330423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背景困难负样本挖掘</w:t>
            </w:r>
          </w:p>
        </w:tc>
      </w:tr>
      <w:tr w14:paraId="33826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D46F37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ABC 面积偏大</w:t>
            </w:r>
          </w:p>
        </w:tc>
        <w:tc>
          <w:tcPr>
            <w:tcW w:w="3969" w:type="dxa"/>
            <w:vAlign w:val="center"/>
          </w:tcPr>
          <w:p w14:paraId="32A56E9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横向或局部外扩</w:t>
            </w:r>
          </w:p>
        </w:tc>
        <w:tc>
          <w:tcPr>
            <w:tcW w:w="3969" w:type="dxa"/>
            <w:vAlign w:val="center"/>
          </w:tcPr>
          <w:p w14:paraId="615B5A0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保留轻量 Boundary 辅助</w:t>
            </w:r>
          </w:p>
        </w:tc>
      </w:tr>
      <w:tr w14:paraId="2FB53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AEEE37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分割不完整</w:t>
            </w:r>
          </w:p>
        </w:tc>
        <w:tc>
          <w:tcPr>
            <w:tcW w:w="3969" w:type="dxa"/>
            <w:vAlign w:val="center"/>
          </w:tcPr>
          <w:p w14:paraId="2B5B238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各类均出现</w:t>
            </w:r>
          </w:p>
        </w:tc>
        <w:tc>
          <w:tcPr>
            <w:tcW w:w="3969" w:type="dxa"/>
            <w:vAlign w:val="center"/>
          </w:tcPr>
          <w:p w14:paraId="674FCCC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更合理特征层、Dice/OHEM、后续视需要加高分辨率 skip</w:t>
            </w:r>
          </w:p>
        </w:tc>
      </w:tr>
      <w:tr w14:paraId="42275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B61F9A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同目标多类别</w:t>
            </w:r>
          </w:p>
        </w:tc>
        <w:tc>
          <w:tcPr>
            <w:tcW w:w="3969" w:type="dxa"/>
            <w:vAlign w:val="center"/>
          </w:tcPr>
          <w:p w14:paraId="208D793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同一个目标被分成 2–3 种</w:t>
            </w:r>
          </w:p>
        </w:tc>
        <w:tc>
          <w:tcPr>
            <w:tcW w:w="3969" w:type="dxa"/>
            <w:vAlign w:val="center"/>
          </w:tcPr>
          <w:p w14:paraId="57D0F2D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Polygon consistency（训练期）</w:t>
            </w:r>
          </w:p>
        </w:tc>
      </w:tr>
      <w:tr w14:paraId="22C61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993813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大噪声局部误检</w:t>
            </w:r>
          </w:p>
        </w:tc>
        <w:tc>
          <w:tcPr>
            <w:tcW w:w="3969" w:type="dxa"/>
            <w:vAlign w:val="center"/>
          </w:tcPr>
          <w:p w14:paraId="5555AED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噪声区域的一部分被识别成夹杂物</w:t>
            </w:r>
          </w:p>
        </w:tc>
        <w:tc>
          <w:tcPr>
            <w:tcW w:w="3969" w:type="dxa"/>
            <w:vAlign w:val="center"/>
          </w:tcPr>
          <w:p w14:paraId="2D3404E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共享 DINO 上下文 + Gate/专家分治</w:t>
            </w:r>
          </w:p>
        </w:tc>
      </w:tr>
      <w:tr w14:paraId="072CC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9BCD15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目标遗漏</w:t>
            </w:r>
          </w:p>
        </w:tc>
        <w:tc>
          <w:tcPr>
            <w:tcW w:w="3969" w:type="dxa"/>
            <w:vAlign w:val="center"/>
          </w:tcPr>
          <w:p w14:paraId="370D904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尤其小目标/弱对比区域</w:t>
            </w:r>
          </w:p>
        </w:tc>
        <w:tc>
          <w:tcPr>
            <w:tcW w:w="3969" w:type="dxa"/>
            <w:vAlign w:val="center"/>
          </w:tcPr>
          <w:p w14:paraId="3EDD7C1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原分辨率 patch 保留；后续按残留问题再加轻量 detail branch</w:t>
            </w:r>
          </w:p>
        </w:tc>
      </w:tr>
    </w:tbl>
    <w:p w14:paraId="56B4CFBF">
      <w:pPr>
        <w:rPr>
          <w:rFonts w:ascii="Times New Roman" w:hAnsi="Times New Roman" w:eastAsia="宋体"/>
        </w:rPr>
      </w:pPr>
    </w:p>
    <w:p w14:paraId="71FC3731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业务取舍：优先保证夹杂物识别准确性（Precision），同时保持可接受的 Recall。噪声之间互相混淆的影响远小于噪声被识别为夹杂物。</w:t>
      </w:r>
    </w:p>
    <w:p w14:paraId="7C812FFA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3. 模型方案选择：两模型、单模型与共享双专家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3509"/>
        <w:gridCol w:w="3509"/>
        <w:gridCol w:w="1359"/>
      </w:tblGrid>
      <w:tr w14:paraId="1AAEB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FE64F5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方案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465E4FC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优点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07A64F7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问题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4FBC43A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结论</w:t>
            </w:r>
          </w:p>
        </w:tc>
      </w:tr>
      <w:tr w14:paraId="753AF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7CCFE6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两个独立模型</w:t>
            </w:r>
          </w:p>
        </w:tc>
        <w:tc>
          <w:tcPr>
            <w:tcW w:w="3515" w:type="dxa"/>
            <w:vAlign w:val="center"/>
          </w:tcPr>
          <w:p w14:paraId="04D6D3C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条/点任务分解清晰，历史方案已验证</w:t>
            </w:r>
          </w:p>
        </w:tc>
        <w:tc>
          <w:tcPr>
            <w:tcW w:w="3515" w:type="dxa"/>
            <w:vAlign w:val="center"/>
          </w:tcPr>
          <w:p w14:paraId="44D132E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DINOv3 + Decoder 重复计算两次，推理慢</w:t>
            </w:r>
          </w:p>
        </w:tc>
        <w:tc>
          <w:tcPr>
            <w:tcW w:w="1361" w:type="dxa"/>
            <w:vAlign w:val="center"/>
          </w:tcPr>
          <w:p w14:paraId="1FF8F7C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不作为最终主线</w:t>
            </w:r>
          </w:p>
        </w:tc>
      </w:tr>
      <w:tr w14:paraId="161F7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C7DDB5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一个全类别模型</w:t>
            </w:r>
          </w:p>
        </w:tc>
        <w:tc>
          <w:tcPr>
            <w:tcW w:w="3515" w:type="dxa"/>
            <w:vAlign w:val="center"/>
          </w:tcPr>
          <w:p w14:paraId="4476A67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只跑一次；结构最简单</w:t>
            </w:r>
          </w:p>
        </w:tc>
        <w:tc>
          <w:tcPr>
            <w:tcW w:w="3515" w:type="dxa"/>
            <w:vAlign w:val="center"/>
          </w:tcPr>
          <w:p w14:paraId="399BF11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无意义类间竞争增多，A/C/D 的困难空间被混在一起</w:t>
            </w:r>
          </w:p>
        </w:tc>
        <w:tc>
          <w:tcPr>
            <w:tcW w:w="1361" w:type="dxa"/>
            <w:vAlign w:val="center"/>
          </w:tcPr>
          <w:p w14:paraId="25D2B78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可作为对照实验</w:t>
            </w:r>
          </w:p>
        </w:tc>
      </w:tr>
      <w:tr w14:paraId="4BFE1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DC5B16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共享 Backbone + 双专家</w:t>
            </w:r>
          </w:p>
        </w:tc>
        <w:tc>
          <w:tcPr>
            <w:tcW w:w="3515" w:type="dxa"/>
            <w:vAlign w:val="center"/>
          </w:tcPr>
          <w:p w14:paraId="474484E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保留条/点分治；DINO 与 Decoder 只跑一次；head 开销很小</w:t>
            </w:r>
          </w:p>
        </w:tc>
        <w:tc>
          <w:tcPr>
            <w:tcW w:w="3515" w:type="dxa"/>
            <w:vAlign w:val="center"/>
          </w:tcPr>
          <w:p w14:paraId="5EECCBE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训练接口需重构</w:t>
            </w:r>
          </w:p>
        </w:tc>
        <w:tc>
          <w:tcPr>
            <w:tcW w:w="1361" w:type="dxa"/>
            <w:vAlign w:val="center"/>
          </w:tcPr>
          <w:p w14:paraId="1855B84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推荐主方案</w:t>
            </w:r>
          </w:p>
        </w:tc>
      </w:tr>
    </w:tbl>
    <w:p w14:paraId="71B8D8EE">
      <w:pPr>
        <w:rPr>
          <w:rFonts w:ascii="Times New Roman" w:hAnsi="Times New Roman" w:eastAsia="宋体"/>
        </w:rPr>
      </w:pPr>
    </w:p>
    <w:p w14:paraId="6B419EC6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3.1 推荐 MVP 网络</w:t>
      </w:r>
    </w:p>
    <w:p w14:paraId="51554748">
      <w:pPr>
        <w:pStyle w:val="164"/>
        <w:spacing w:after="120"/>
        <w:ind w:left="28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1024×1024 patch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 │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 ▼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DINOv3 ViT-B/16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 │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取 L4 / L8 / L12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 │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Lightweight Fusion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 │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Shared Residual Decoder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 │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 ├──────── Group Gate: background / strip / point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 ├──────── Strip Head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 │         bg, A, B, C, TINB/TINC, TIND, HH, XW, XQL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 └──────── Point Head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           bg, D, HC, SZ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可选保留：Boundary Head（训练辅助）</w:t>
      </w:r>
      <w:r>
        <w:rPr>
          <w:rFonts w:ascii="Times New Roman" w:hAnsi="Times New Roman" w:eastAsia="宋体"/>
        </w:rPr>
        <w:br w:type="textWrapping"/>
      </w:r>
    </w:p>
    <w:p w14:paraId="41CD2257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3.2 为什么保留条状/点状分治</w:t>
      </w:r>
    </w:p>
    <w:p w14:paraId="04C48090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当前真实混淆空间天然分成两组：条状任务主要是 A/C 与 HH/XW/XQL 的竞争；点状任务主要是 D 与 HC/SZ/未知点状背景的竞争。D 与 A/C 直接竞争几乎没有业务价值。因此保留专家空间，可以减少无意义的 softmax 竞争，同时共享最昂贵的 DINOv3 特征提取。</w:t>
      </w:r>
    </w:p>
    <w:p w14:paraId="5BBF1AB4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4. MVP-1：第一阶段最小可行改动</w:t>
      </w:r>
    </w:p>
    <w:p w14:paraId="1329FC5A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第一阶段只做高收益、低推理开销改动，不引入重型 attention、deformable convolution、额外 backbone 或复杂实例网络。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4107"/>
        <w:gridCol w:w="1462"/>
        <w:gridCol w:w="2814"/>
      </w:tblGrid>
      <w:tr w14:paraId="4B9F4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6F6788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改动</w:t>
            </w:r>
          </w:p>
        </w:tc>
        <w:tc>
          <w:tcPr>
            <w:tcW w:w="4139" w:type="dxa"/>
            <w:shd w:val="clear" w:color="auto" w:fill="D9EAF7"/>
            <w:vAlign w:val="center"/>
          </w:tcPr>
          <w:p w14:paraId="3B6FED7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具体方案</w:t>
            </w:r>
          </w:p>
        </w:tc>
        <w:tc>
          <w:tcPr>
            <w:tcW w:w="1474" w:type="dxa"/>
            <w:shd w:val="clear" w:color="auto" w:fill="D9EAF7"/>
            <w:vAlign w:val="center"/>
          </w:tcPr>
          <w:p w14:paraId="0210793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推理成本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D2B7A9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主要解决问题</w:t>
            </w:r>
          </w:p>
        </w:tc>
      </w:tr>
      <w:tr w14:paraId="4B83B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018A65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修复特殊 token 提取</w:t>
            </w:r>
          </w:p>
        </w:tc>
        <w:tc>
          <w:tcPr>
            <w:tcW w:w="4139" w:type="dxa"/>
            <w:vAlign w:val="center"/>
          </w:tcPr>
          <w:p w14:paraId="349FE44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正确跳过 CLS + register tokens；不再使用 feat[:,1:-4,:]</w:t>
            </w:r>
            <w:bookmarkStart w:id="0" w:name="_GoBack"/>
            <w:bookmarkEnd w:id="0"/>
          </w:p>
        </w:tc>
        <w:tc>
          <w:tcPr>
            <w:tcW w:w="1474" w:type="dxa"/>
            <w:vAlign w:val="center"/>
          </w:tcPr>
          <w:p w14:paraId="7E26B50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w="2835" w:type="dxa"/>
            <w:vAlign w:val="center"/>
          </w:tcPr>
          <w:p w14:paraId="49EB871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修复 patch 空间错位</w:t>
            </w:r>
          </w:p>
        </w:tc>
      </w:tr>
      <w:tr w14:paraId="37E76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C01CE4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特征层改为 L4/L8/L12</w:t>
            </w:r>
          </w:p>
        </w:tc>
        <w:tc>
          <w:tcPr>
            <w:tcW w:w="4139" w:type="dxa"/>
            <w:vAlign w:val="center"/>
          </w:tcPr>
          <w:p w14:paraId="2934C0D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代替当前最后三层 L10/L11/L12</w:t>
            </w:r>
          </w:p>
        </w:tc>
        <w:tc>
          <w:tcPr>
            <w:tcW w:w="1474" w:type="dxa"/>
            <w:vAlign w:val="center"/>
          </w:tcPr>
          <w:p w14:paraId="50764EB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近似 0</w:t>
            </w:r>
          </w:p>
        </w:tc>
        <w:tc>
          <w:tcPr>
            <w:tcW w:w="2835" w:type="dxa"/>
            <w:vAlign w:val="center"/>
          </w:tcPr>
          <w:p w14:paraId="1ADFCFE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灰度/纹理 + 中层结构 + 全局语义互补</w:t>
            </w:r>
          </w:p>
        </w:tc>
      </w:tr>
      <w:tr w14:paraId="6B22C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5BF17F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轻量 Fusion</w:t>
            </w:r>
          </w:p>
        </w:tc>
        <w:tc>
          <w:tcPr>
            <w:tcW w:w="4139" w:type="dxa"/>
            <w:vAlign w:val="center"/>
          </w:tcPr>
          <w:p w14:paraId="6DACCE2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1×1 投影 + concat/sum + 1×1/3×3</w:t>
            </w:r>
          </w:p>
        </w:tc>
        <w:tc>
          <w:tcPr>
            <w:tcW w:w="1474" w:type="dxa"/>
            <w:vAlign w:val="center"/>
          </w:tcPr>
          <w:p w14:paraId="66D6230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极低</w:t>
            </w:r>
          </w:p>
        </w:tc>
        <w:tc>
          <w:tcPr>
            <w:tcW w:w="2835" w:type="dxa"/>
            <w:vAlign w:val="center"/>
          </w:tcPr>
          <w:p w14:paraId="0CF25DA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避免复杂 attention 开销</w:t>
            </w:r>
          </w:p>
        </w:tc>
      </w:tr>
      <w:tr w14:paraId="50E13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73F497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共享 Decoder</w:t>
            </w:r>
          </w:p>
        </w:tc>
        <w:tc>
          <w:tcPr>
            <w:tcW w:w="4139" w:type="dxa"/>
            <w:vAlign w:val="center"/>
          </w:tcPr>
          <w:p w14:paraId="21B86A3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继续沿用 4 级 residual upsample 的思想，在新目录重新实现</w:t>
            </w:r>
          </w:p>
        </w:tc>
        <w:tc>
          <w:tcPr>
            <w:tcW w:w="1474" w:type="dxa"/>
            <w:vAlign w:val="center"/>
          </w:tcPr>
          <w:p w14:paraId="16C8905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与单模型接近</w:t>
            </w:r>
          </w:p>
        </w:tc>
        <w:tc>
          <w:tcPr>
            <w:tcW w:w="2835" w:type="dxa"/>
            <w:vAlign w:val="center"/>
          </w:tcPr>
          <w:p w14:paraId="774035D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保持当前速度基线</w:t>
            </w:r>
          </w:p>
        </w:tc>
      </w:tr>
      <w:tr w14:paraId="07F37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7B8D44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Strip Head</w:t>
            </w:r>
          </w:p>
        </w:tc>
        <w:tc>
          <w:tcPr>
            <w:tcW w:w="4139" w:type="dxa"/>
            <w:vAlign w:val="center"/>
          </w:tcPr>
          <w:p w14:paraId="5E5FBC6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9 类（含 strip background）</w:t>
            </w:r>
          </w:p>
        </w:tc>
        <w:tc>
          <w:tcPr>
            <w:tcW w:w="1474" w:type="dxa"/>
            <w:vAlign w:val="center"/>
          </w:tcPr>
          <w:p w14:paraId="254B3C9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极低</w:t>
            </w:r>
          </w:p>
        </w:tc>
        <w:tc>
          <w:tcPr>
            <w:tcW w:w="2835" w:type="dxa"/>
            <w:vAlign w:val="center"/>
          </w:tcPr>
          <w:p w14:paraId="33E9EFD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A/C 与条状噪声竞争</w:t>
            </w:r>
          </w:p>
        </w:tc>
      </w:tr>
      <w:tr w14:paraId="58926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C432E0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Point Head</w:t>
            </w:r>
          </w:p>
        </w:tc>
        <w:tc>
          <w:tcPr>
            <w:tcW w:w="4139" w:type="dxa"/>
            <w:vAlign w:val="center"/>
          </w:tcPr>
          <w:p w14:paraId="5361172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4 类（含 point background）</w:t>
            </w:r>
          </w:p>
        </w:tc>
        <w:tc>
          <w:tcPr>
            <w:tcW w:w="1474" w:type="dxa"/>
            <w:vAlign w:val="center"/>
          </w:tcPr>
          <w:p w14:paraId="790FE62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极低</w:t>
            </w:r>
          </w:p>
        </w:tc>
        <w:tc>
          <w:tcPr>
            <w:tcW w:w="2835" w:type="dxa"/>
            <w:vAlign w:val="center"/>
          </w:tcPr>
          <w:p w14:paraId="1E8A86C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D 与 HC/SZ/背景竞争</w:t>
            </w:r>
          </w:p>
        </w:tc>
      </w:tr>
      <w:tr w14:paraId="5D2AB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26CF02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Group Gate</w:t>
            </w:r>
          </w:p>
        </w:tc>
        <w:tc>
          <w:tcPr>
            <w:tcW w:w="4139" w:type="dxa"/>
            <w:vAlign w:val="center"/>
          </w:tcPr>
          <w:p w14:paraId="29674B2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background / strip / point</w:t>
            </w:r>
          </w:p>
        </w:tc>
        <w:tc>
          <w:tcPr>
            <w:tcW w:w="1474" w:type="dxa"/>
            <w:vAlign w:val="center"/>
          </w:tcPr>
          <w:p w14:paraId="035FCD4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极低</w:t>
            </w:r>
          </w:p>
        </w:tc>
        <w:tc>
          <w:tcPr>
            <w:tcW w:w="2835" w:type="dxa"/>
            <w:vAlign w:val="center"/>
          </w:tcPr>
          <w:p w14:paraId="360BD9E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粗分组、减少跨组污染</w:t>
            </w:r>
          </w:p>
        </w:tc>
      </w:tr>
      <w:tr w14:paraId="444FC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D24C57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Boundary 辅助</w:t>
            </w:r>
          </w:p>
        </w:tc>
        <w:tc>
          <w:tcPr>
            <w:tcW w:w="4139" w:type="dxa"/>
            <w:vAlign w:val="center"/>
          </w:tcPr>
          <w:p w14:paraId="4E4A02D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保留轻量边界监督，低权重</w:t>
            </w:r>
          </w:p>
        </w:tc>
        <w:tc>
          <w:tcPr>
            <w:tcW w:w="1474" w:type="dxa"/>
            <w:vAlign w:val="center"/>
          </w:tcPr>
          <w:p w14:paraId="574AB51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很低</w:t>
            </w:r>
          </w:p>
        </w:tc>
        <w:tc>
          <w:tcPr>
            <w:tcW w:w="2835" w:type="dxa"/>
            <w:vAlign w:val="center"/>
          </w:tcPr>
          <w:p w14:paraId="3620C7C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缓解 ABC 面积过大</w:t>
            </w:r>
          </w:p>
        </w:tc>
      </w:tr>
    </w:tbl>
    <w:p w14:paraId="3436F677">
      <w:pPr>
        <w:rPr>
          <w:rFonts w:ascii="Times New Roman" w:hAnsi="Times New Roman" w:eastAsia="宋体"/>
        </w:rPr>
      </w:pPr>
    </w:p>
    <w:p w14:paraId="11AA8542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4.1 专家 head 的监督规则</w:t>
      </w:r>
    </w:p>
    <w:p w14:paraId="0927191E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Strip Head 正常监督 A/B/C/TINB-TINC/TIND/HH/XW/XQL；D/HC/SZ 明确前景区域在 Strip loss 中设为 ignore。</w:t>
      </w:r>
    </w:p>
    <w:p w14:paraId="3C7896C6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Point Head 正常监督 D/HC/SZ；A/B/C/TINB-TINC/TIND/HH/XW/XQL 明确前景区域在 Point loss 中设为 ignore。</w:t>
      </w:r>
    </w:p>
    <w:p w14:paraId="32C83A0B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真正背景仍然作为两个专家 head 的 background，尤其保留未标注的倾斜条纹、空心点、不规则点等困难负样本。</w:t>
      </w:r>
    </w:p>
    <w:p w14:paraId="3C97B0D8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5. MVP-1 Loss 设计</w:t>
      </w:r>
    </w:p>
    <w:p w14:paraId="76176390">
      <w:pPr>
        <w:pStyle w:val="164"/>
        <w:spacing w:after="120"/>
        <w:ind w:left="28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L_total =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λ_gate  * L_gate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+ λ_strip * L_strip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+ λ_point * L_point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+ λ_bnd   * L_boundary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L_strip =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0.6 * OHEM/Focal-CE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+ 0.4 * Dice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+ λ_HH * L(HH → A/C rejection)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L_point =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0.6 * OHEM/Focal-CE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+ 0.4 * Dice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+ λ_D * L(HC/SZ → D rejection)</w:t>
      </w:r>
      <w:r>
        <w:rPr>
          <w:rFonts w:ascii="Times New Roman" w:hAnsi="Times New Roman" w:eastAsia="宋体"/>
        </w:rPr>
        <w:br w:type="textWrapping"/>
      </w:r>
    </w:p>
    <w:p w14:paraId="6E74E1F3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HH→A/C 是明显单向错误，因此不建议简单提高 HH 类权重，而是只在 GT=HH 区域额外压制 P(A)+P(C)。同理，对 GT=HC/SZ 区域额外压制 P(D)。这样更贴合业务错误方向。</w:t>
      </w:r>
    </w:p>
    <w:p w14:paraId="3045DD9C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OHEM 重点保留所有正样本以及 loss 最大的一部分背景像素，使空心点、不规则点、水渍边缘、倾斜条纹等自动成为高权重负样本；纯净金属背景不会占据过多梯度。</w:t>
      </w:r>
    </w:p>
    <w:p w14:paraId="0CA7BC92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6. MVP-2：仅增加训练期开销的优化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8"/>
        <w:gridCol w:w="3305"/>
        <w:gridCol w:w="3675"/>
        <w:gridCol w:w="1060"/>
      </w:tblGrid>
      <w:tr w14:paraId="1098A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101C99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模块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22E7722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触发条件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16586A7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实现方式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A27E24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推理成本</w:t>
            </w:r>
          </w:p>
        </w:tc>
      </w:tr>
      <w:tr w14:paraId="02918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B60B23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Polygon consistency</w:t>
            </w:r>
          </w:p>
        </w:tc>
        <w:tc>
          <w:tcPr>
            <w:tcW w:w="3515" w:type="dxa"/>
            <w:vAlign w:val="center"/>
          </w:tcPr>
          <w:p w14:paraId="692D38C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A/C 或同目标多类别仍明显</w:t>
            </w:r>
          </w:p>
        </w:tc>
        <w:tc>
          <w:tcPr>
            <w:tcW w:w="3969" w:type="dxa"/>
            <w:vAlign w:val="center"/>
          </w:tcPr>
          <w:p w14:paraId="29A5B90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直接利用 LabelMe shapes[] polygon；区域均值分类 + pixel-to-object 一致性</w:t>
            </w:r>
          </w:p>
        </w:tc>
        <w:tc>
          <w:tcPr>
            <w:tcW w:w="1134" w:type="dxa"/>
            <w:vAlign w:val="center"/>
          </w:tcPr>
          <w:p w14:paraId="5A9C7C2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</w:tr>
      <w:tr w14:paraId="50E25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5BCC91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Hard-negative mining</w:t>
            </w:r>
          </w:p>
        </w:tc>
        <w:tc>
          <w:tcPr>
            <w:tcW w:w="3515" w:type="dxa"/>
            <w:vAlign w:val="center"/>
          </w:tcPr>
          <w:p w14:paraId="27A62E8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Background→D 或未知条纹→A/C 仍高</w:t>
            </w:r>
          </w:p>
        </w:tc>
        <w:tc>
          <w:tcPr>
            <w:tcW w:w="3969" w:type="dxa"/>
            <w:vAlign w:val="center"/>
          </w:tcPr>
          <w:p w14:paraId="0B44AC8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用模型自动收集 GT background 中高置信度 FP patch，下一轮提高采样概率</w:t>
            </w:r>
          </w:p>
        </w:tc>
        <w:tc>
          <w:tcPr>
            <w:tcW w:w="1134" w:type="dxa"/>
            <w:vAlign w:val="center"/>
          </w:tcPr>
          <w:p w14:paraId="60CCDFD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</w:tr>
      <w:tr w14:paraId="148B3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3CE07E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Confusion-aware penalty</w:t>
            </w:r>
          </w:p>
        </w:tc>
        <w:tc>
          <w:tcPr>
            <w:tcW w:w="3515" w:type="dxa"/>
            <w:vAlign w:val="center"/>
          </w:tcPr>
          <w:p w14:paraId="6D23EC1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HH→A/C、HC/SZ→D 仍高</w:t>
            </w:r>
          </w:p>
        </w:tc>
        <w:tc>
          <w:tcPr>
            <w:tcW w:w="3969" w:type="dxa"/>
            <w:vAlign w:val="center"/>
          </w:tcPr>
          <w:p w14:paraId="727AB7C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对指定方向的错误概率增加额外 penalty</w:t>
            </w:r>
          </w:p>
        </w:tc>
        <w:tc>
          <w:tcPr>
            <w:tcW w:w="1134" w:type="dxa"/>
            <w:vAlign w:val="center"/>
          </w:tcPr>
          <w:p w14:paraId="014619B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</w:tr>
    </w:tbl>
    <w:p w14:paraId="5C2BAA08">
      <w:pPr>
        <w:rPr>
          <w:rFonts w:ascii="Times New Roman" w:hAnsi="Times New Roman" w:eastAsia="宋体"/>
        </w:rPr>
      </w:pPr>
    </w:p>
    <w:p w14:paraId="6A5AA046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LabelMe 的 group_id=null 不影响上述做法：训练时可按每个 shapes[] polygon 分别 rasterize 成对象 mask。无需重做实例标注。</w:t>
      </w:r>
    </w:p>
    <w:p w14:paraId="1B92DCC1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7. MVP-3：只有残留问题明确时才加轻量高分辨率分支</w:t>
      </w:r>
    </w:p>
    <w:p w14:paraId="6652E087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如果 MVP-1/2 后主要剩余问题已经从“类别混淆”转为“小 D 漏检、极细目标断裂、实心/空心结构无法区分”，再增加一个单层 1/4 resolution detail skip。不要直接上完整 C2/C4/C8 高分辨率 backbone，以控制推理时间。</w:t>
      </w:r>
    </w:p>
    <w:p w14:paraId="6C92C235">
      <w:pPr>
        <w:pStyle w:val="164"/>
        <w:spacing w:after="120"/>
        <w:ind w:left="28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RGB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│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├─ stride-2 conv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└─ stride-2 depthwise/pointwise conv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  │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1/4 detail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  │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  └──── fuse 到 decoder 的 1/4 层</w:t>
      </w:r>
      <w:r>
        <w:rPr>
          <w:rFonts w:ascii="Times New Roman" w:hAnsi="Times New Roman" w:eastAsia="宋体"/>
        </w:rPr>
        <w:br w:type="textWrapping"/>
      </w:r>
    </w:p>
    <w:p w14:paraId="19A20352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8. 数据与增强策略</w:t>
      </w:r>
    </w:p>
    <w:p w14:paraId="60B9D111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现有训练已经使用原始图像智能裁剪得到 1024×1024 patch，推理也使用 1024×1024 滑窗，因此不需要再讨论整图缩放问题。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627"/>
        <w:gridCol w:w="5237"/>
      </w:tblGrid>
      <w:tr w14:paraId="6A78C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29F195F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DF507E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建议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53DB2D6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原因</w:t>
            </w:r>
          </w:p>
        </w:tc>
      </w:tr>
      <w:tr w14:paraId="29D6A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4A168C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ElasticTransform</w:t>
            </w:r>
          </w:p>
        </w:tc>
        <w:tc>
          <w:tcPr>
            <w:tcW w:w="2835" w:type="dxa"/>
            <w:vAlign w:val="center"/>
          </w:tcPr>
          <w:p w14:paraId="5BCFBD3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删除</w:t>
            </w:r>
          </w:p>
        </w:tc>
        <w:tc>
          <w:tcPr>
            <w:tcW w:w="5669" w:type="dxa"/>
            <w:vAlign w:val="center"/>
          </w:tcPr>
          <w:p w14:paraId="192E1A8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会破坏 A/C 判定依赖的端部与宽度形态</w:t>
            </w:r>
          </w:p>
        </w:tc>
      </w:tr>
      <w:tr w14:paraId="49068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9AAE6B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Brightness/Contrast</w:t>
            </w:r>
          </w:p>
        </w:tc>
        <w:tc>
          <w:tcPr>
            <w:tcW w:w="2835" w:type="dxa"/>
            <w:vAlign w:val="center"/>
          </w:tcPr>
          <w:p w14:paraId="1F68C3F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降低幅度</w:t>
            </w:r>
          </w:p>
        </w:tc>
        <w:tc>
          <w:tcPr>
            <w:tcW w:w="5669" w:type="dxa"/>
            <w:vAlign w:val="center"/>
          </w:tcPr>
          <w:p w14:paraId="06D5540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A/C 首要依据是颜色/灰度，避免破坏有效材质信息</w:t>
            </w:r>
          </w:p>
        </w:tc>
      </w:tr>
      <w:tr w14:paraId="565E3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2C5770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GaussNoise</w:t>
            </w:r>
          </w:p>
        </w:tc>
        <w:tc>
          <w:tcPr>
            <w:tcW w:w="2835" w:type="dxa"/>
            <w:vAlign w:val="center"/>
          </w:tcPr>
          <w:p w14:paraId="01FDE09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降低概率/幅度</w:t>
            </w:r>
          </w:p>
        </w:tc>
        <w:tc>
          <w:tcPr>
            <w:tcW w:w="5669" w:type="dxa"/>
            <w:vAlign w:val="center"/>
          </w:tcPr>
          <w:p w14:paraId="5ACD898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避免污染小 D、灰尘、点状内部结构</w:t>
            </w:r>
          </w:p>
        </w:tc>
      </w:tr>
      <w:tr w14:paraId="2FE2B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703142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任意角度旋转</w:t>
            </w:r>
          </w:p>
        </w:tc>
        <w:tc>
          <w:tcPr>
            <w:tcW w:w="2835" w:type="dxa"/>
            <w:vAlign w:val="center"/>
          </w:tcPr>
          <w:p w14:paraId="7C49D08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不建议</w:t>
            </w:r>
          </w:p>
        </w:tc>
        <w:tc>
          <w:tcPr>
            <w:tcW w:w="5669" w:type="dxa"/>
            <w:vAlign w:val="center"/>
          </w:tcPr>
          <w:p w14:paraId="3C92367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真实夹杂物主要沿轧制方向；倾斜方向本身是区分条状背景噪声的有效先验</w:t>
            </w:r>
          </w:p>
        </w:tc>
      </w:tr>
      <w:tr w14:paraId="5F1FB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208B0A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Horizontal/Vertical Flip</w:t>
            </w:r>
          </w:p>
        </w:tc>
        <w:tc>
          <w:tcPr>
            <w:tcW w:w="2835" w:type="dxa"/>
            <w:vAlign w:val="center"/>
          </w:tcPr>
          <w:p w14:paraId="521D9F9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可保留</w:t>
            </w:r>
          </w:p>
        </w:tc>
        <w:tc>
          <w:tcPr>
            <w:tcW w:w="5669" w:type="dxa"/>
            <w:vAlign w:val="center"/>
          </w:tcPr>
          <w:p w14:paraId="4958619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不产生任意倾斜角；但最终仍需以实际工艺方向一致性验证</w:t>
            </w:r>
          </w:p>
        </w:tc>
      </w:tr>
      <w:tr w14:paraId="20956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8FD1EE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智能裁剪</w:t>
            </w:r>
          </w:p>
        </w:tc>
        <w:tc>
          <w:tcPr>
            <w:tcW w:w="2835" w:type="dxa"/>
            <w:vAlign w:val="center"/>
          </w:tcPr>
          <w:p w14:paraId="41AE0C6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保留</w:t>
            </w:r>
          </w:p>
        </w:tc>
        <w:tc>
          <w:tcPr>
            <w:tcW w:w="5669" w:type="dxa"/>
            <w:vAlign w:val="center"/>
          </w:tcPr>
          <w:p w14:paraId="4CC5098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确保目标及足够上下文进入 1024 patch</w:t>
            </w:r>
          </w:p>
        </w:tc>
      </w:tr>
    </w:tbl>
    <w:p w14:paraId="61D9AE71">
      <w:pPr>
        <w:rPr>
          <w:rFonts w:ascii="Times New Roman" w:hAnsi="Times New Roman" w:eastAsia="宋体"/>
        </w:rPr>
      </w:pPr>
    </w:p>
    <w:p w14:paraId="5456E98F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9. 评估指标与模型选择</w:t>
      </w:r>
    </w:p>
    <w:p w14:paraId="68F06DD7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现有 mIoU/mDice 不能充分反映业务目标。应优先评估夹杂物 Precision，并单独监控关键误识别路径。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5"/>
        <w:gridCol w:w="6393"/>
      </w:tblGrid>
      <w:tr w14:paraId="2BC2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6AB346B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DDBE15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用途/优先级</w:t>
            </w:r>
          </w:p>
        </w:tc>
      </w:tr>
      <w:tr w14:paraId="3222D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552D55D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Inclusion Precision</w:t>
            </w:r>
          </w:p>
        </w:tc>
        <w:tc>
          <w:tcPr>
            <w:tcW w:w="6803" w:type="dxa"/>
            <w:vAlign w:val="center"/>
          </w:tcPr>
          <w:p w14:paraId="001F340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最高优先级；最终只展示夹杂物</w:t>
            </w:r>
          </w:p>
        </w:tc>
      </w:tr>
      <w:tr w14:paraId="7E5B3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2FBE6F9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Inclusion Recall / F1</w:t>
            </w:r>
          </w:p>
        </w:tc>
        <w:tc>
          <w:tcPr>
            <w:tcW w:w="6803" w:type="dxa"/>
            <w:vAlign w:val="center"/>
          </w:tcPr>
          <w:p w14:paraId="1A862ED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防止为 Precision 过度牺牲目标召回</w:t>
            </w:r>
          </w:p>
        </w:tc>
      </w:tr>
      <w:tr w14:paraId="592CB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0C362F3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A/B/C/D/TINB-TINC/TIND per-class Precision/Recall</w:t>
            </w:r>
          </w:p>
        </w:tc>
        <w:tc>
          <w:tcPr>
            <w:tcW w:w="6803" w:type="dxa"/>
            <w:vAlign w:val="center"/>
          </w:tcPr>
          <w:p w14:paraId="6F4B2BB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判断各夹杂物类别质量</w:t>
            </w:r>
          </w:p>
        </w:tc>
      </w:tr>
      <w:tr w14:paraId="5BA35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38FA8CD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HH→A/C FP Rate</w:t>
            </w:r>
          </w:p>
        </w:tc>
        <w:tc>
          <w:tcPr>
            <w:tcW w:w="6803" w:type="dxa"/>
            <w:vAlign w:val="center"/>
          </w:tcPr>
          <w:p w14:paraId="4FE104A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条状关键错误</w:t>
            </w:r>
          </w:p>
        </w:tc>
      </w:tr>
      <w:tr w14:paraId="21B4D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66ABE02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HC→D FP Rate</w:t>
            </w:r>
          </w:p>
        </w:tc>
        <w:tc>
          <w:tcPr>
            <w:tcW w:w="6803" w:type="dxa"/>
            <w:vAlign w:val="center"/>
          </w:tcPr>
          <w:p w14:paraId="3D8F186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点状关键错误</w:t>
            </w:r>
          </w:p>
        </w:tc>
      </w:tr>
      <w:tr w14:paraId="1C0FF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2B35F4A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SZ→D FP Rate</w:t>
            </w:r>
          </w:p>
        </w:tc>
        <w:tc>
          <w:tcPr>
            <w:tcW w:w="6803" w:type="dxa"/>
            <w:vAlign w:val="center"/>
          </w:tcPr>
          <w:p w14:paraId="01E2A65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点状关键错误</w:t>
            </w:r>
          </w:p>
        </w:tc>
      </w:tr>
      <w:tr w14:paraId="1CA9A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1DE2E25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Background→D FP Rate</w:t>
            </w:r>
          </w:p>
        </w:tc>
        <w:tc>
          <w:tcPr>
            <w:tcW w:w="6803" w:type="dxa"/>
            <w:vAlign w:val="center"/>
          </w:tcPr>
          <w:p w14:paraId="084740B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未知点状背景噪声拒识能力</w:t>
            </w:r>
          </w:p>
        </w:tc>
      </w:tr>
      <w:tr w14:paraId="71BE5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3B53BE6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ABC over-segmentation ratio</w:t>
            </w:r>
          </w:p>
        </w:tc>
        <w:tc>
          <w:tcPr>
            <w:tcW w:w="6803" w:type="dxa"/>
            <w:vAlign w:val="center"/>
          </w:tcPr>
          <w:p w14:paraId="5342335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追踪面积偏大</w:t>
            </w:r>
          </w:p>
        </w:tc>
      </w:tr>
    </w:tbl>
    <w:p w14:paraId="510A0933">
      <w:pPr>
        <w:rPr>
          <w:rFonts w:ascii="Times New Roman" w:hAnsi="Times New Roman" w:eastAsia="宋体"/>
        </w:rPr>
      </w:pPr>
    </w:p>
    <w:p w14:paraId="7DAF23F9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Checkpoint 建议增加 best_inclusion_precision、best_inclusion_f1；若业务有 Recall 下限，可采用“Recall≥阈值条件下 Precision 最大”的保存规则。</w:t>
      </w:r>
    </w:p>
    <w:p w14:paraId="3B92F333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10. 当前仓库代码审阅结论</w:t>
      </w:r>
    </w:p>
    <w:p w14:paraId="74E2A5F9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以下内容来自对 liuhb511/dinov3 main 分支实际代码的检查（忽略 README 架构描述作为实现依据）。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4"/>
        <w:gridCol w:w="3557"/>
        <w:gridCol w:w="3677"/>
      </w:tblGrid>
      <w:tr w14:paraId="6FC5A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D9EAF7"/>
            <w:vAlign w:val="center"/>
          </w:tcPr>
          <w:p w14:paraId="5F6AF11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当前文件</w:t>
            </w:r>
          </w:p>
        </w:tc>
        <w:tc>
          <w:tcPr>
            <w:tcW w:w="4309" w:type="dxa"/>
            <w:shd w:val="clear" w:color="auto" w:fill="D9EAF7"/>
            <w:vAlign w:val="center"/>
          </w:tcPr>
          <w:p w14:paraId="60AE3F0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现状</w:t>
            </w:r>
          </w:p>
        </w:tc>
        <w:tc>
          <w:tcPr>
            <w:tcW w:w="4309" w:type="dxa"/>
            <w:shd w:val="clear" w:color="auto" w:fill="D9EAF7"/>
            <w:vAlign w:val="center"/>
          </w:tcPr>
          <w:p w14:paraId="574A10E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与新方案的关系</w:t>
            </w:r>
          </w:p>
        </w:tc>
      </w:tr>
      <w:tr w14:paraId="72BF0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00BA43B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models/dinov3_encoder.py</w:t>
            </w:r>
          </w:p>
        </w:tc>
        <w:tc>
          <w:tcPr>
            <w:tcW w:w="4309" w:type="dxa"/>
            <w:vAlign w:val="center"/>
          </w:tcPr>
          <w:p w14:paraId="4762063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AutoModel 输出 hidden_states；取最后三层；特殊 token 使用 feat[:,1:-4,:]</w:t>
            </w:r>
          </w:p>
        </w:tc>
        <w:tc>
          <w:tcPr>
            <w:tcW w:w="4309" w:type="dxa"/>
            <w:vAlign w:val="center"/>
          </w:tcPr>
          <w:p w14:paraId="71B915B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新 encoder 需正确切 token，并改为 L4/L8/L12</w:t>
            </w:r>
          </w:p>
        </w:tc>
      </w:tr>
      <w:tr w14:paraId="515B1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7CA3F58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models/attention.py</w:t>
            </w:r>
          </w:p>
        </w:tc>
        <w:tc>
          <w:tcPr>
            <w:tcW w:w="4309" w:type="dxa"/>
            <w:vAlign w:val="center"/>
          </w:tcPr>
          <w:p w14:paraId="09D485B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CBAM + 三层全局可学习权重融合</w:t>
            </w:r>
          </w:p>
        </w:tc>
        <w:tc>
          <w:tcPr>
            <w:tcW w:w="4309" w:type="dxa"/>
            <w:vAlign w:val="center"/>
          </w:tcPr>
          <w:p w14:paraId="4450DB3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MVP 新方案不直接复用，先采用更轻 fusion</w:t>
            </w:r>
          </w:p>
        </w:tc>
      </w:tr>
      <w:tr w14:paraId="6DDA3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78205C1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models/decoder_v3.py</w:t>
            </w:r>
          </w:p>
        </w:tc>
        <w:tc>
          <w:tcPr>
            <w:tcW w:w="4309" w:type="dxa"/>
            <w:vAlign w:val="center"/>
          </w:tcPr>
          <w:p w14:paraId="67FDEF3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AttentionFusion → 512 → 四级 UpResidualBlock → seg/boundary</w:t>
            </w:r>
          </w:p>
        </w:tc>
        <w:tc>
          <w:tcPr>
            <w:tcW w:w="4309" w:type="dxa"/>
            <w:vAlign w:val="center"/>
          </w:tcPr>
          <w:p w14:paraId="4B2994D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保留 decoder 思想，在新目录重新实现 shared decoder + 多头</w:t>
            </w:r>
          </w:p>
        </w:tc>
      </w:tr>
      <w:tr w14:paraId="680BF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1362B46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models/residual_block.py</w:t>
            </w:r>
          </w:p>
        </w:tc>
        <w:tc>
          <w:tcPr>
            <w:tcW w:w="4309" w:type="dxa"/>
            <w:vAlign w:val="center"/>
          </w:tcPr>
          <w:p w14:paraId="4BC6C25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ResidualBlock / UpResidualBlock</w:t>
            </w:r>
          </w:p>
        </w:tc>
        <w:tc>
          <w:tcPr>
            <w:tcW w:w="4309" w:type="dxa"/>
            <w:vAlign w:val="center"/>
          </w:tcPr>
          <w:p w14:paraId="5465CC8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可按同逻辑在新目录重写，避免新模型依赖旧 models</w:t>
            </w:r>
          </w:p>
        </w:tc>
      </w:tr>
      <w:tr w14:paraId="5EBB9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0F60E34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models/boundary_head.py</w:t>
            </w:r>
          </w:p>
        </w:tc>
        <w:tc>
          <w:tcPr>
            <w:tcW w:w="4309" w:type="dxa"/>
            <w:vAlign w:val="center"/>
          </w:tcPr>
          <w:p w14:paraId="093EDC3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轻量 BoundaryHead</w:t>
            </w:r>
          </w:p>
        </w:tc>
        <w:tc>
          <w:tcPr>
            <w:tcW w:w="4309" w:type="dxa"/>
            <w:vAlign w:val="center"/>
          </w:tcPr>
          <w:p w14:paraId="1B60B94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可在新目录复制思想，保留低权重辅助</w:t>
            </w:r>
          </w:p>
        </w:tc>
      </w:tr>
      <w:tr w14:paraId="0C37B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5DAE0CD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models/dinov3_segmentation.py</w:t>
            </w:r>
          </w:p>
        </w:tc>
        <w:tc>
          <w:tcPr>
            <w:tcW w:w="4309" w:type="dxa"/>
            <w:vAlign w:val="center"/>
          </w:tcPr>
          <w:p w14:paraId="1DB3E87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forward 返回 (seg,boundary)</w:t>
            </w:r>
          </w:p>
        </w:tc>
        <w:tc>
          <w:tcPr>
            <w:tcW w:w="4309" w:type="dxa"/>
            <w:vAlign w:val="center"/>
          </w:tcPr>
          <w:p w14:paraId="6E41AE2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新模型接口需返回 gate/strip/point/boundary 字典</w:t>
            </w:r>
          </w:p>
        </w:tc>
      </w:tr>
      <w:tr w14:paraId="59D21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2AD4F1D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losses/loss_JZW.py</w:t>
            </w:r>
          </w:p>
        </w:tc>
        <w:tc>
          <w:tcPr>
            <w:tcW w:w="4309" w:type="dxa"/>
            <w:vAlign w:val="center"/>
          </w:tcPr>
          <w:p w14:paraId="1400897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CE + Dice + BoundaryLoss</w:t>
            </w:r>
          </w:p>
        </w:tc>
        <w:tc>
          <w:tcPr>
            <w:tcW w:w="4309" w:type="dxa"/>
            <w:vAlign w:val="center"/>
          </w:tcPr>
          <w:p w14:paraId="7EF2504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不足以支持 ignore、专家 head、OHEM、定向 rejection</w:t>
            </w:r>
          </w:p>
        </w:tc>
      </w:tr>
      <w:tr w14:paraId="186A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584A2A9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data/grain_dataset.py</w:t>
            </w:r>
          </w:p>
        </w:tc>
        <w:tc>
          <w:tcPr>
            <w:tcW w:w="4309" w:type="dxa"/>
            <w:vAlign w:val="center"/>
          </w:tcPr>
          <w:p w14:paraId="082CAD2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读取 image + mask PNG；Dataset 内仍调用 letterbox_resize</w:t>
            </w:r>
          </w:p>
        </w:tc>
        <w:tc>
          <w:tcPr>
            <w:tcW w:w="4309" w:type="dxa"/>
            <w:vAlign w:val="center"/>
          </w:tcPr>
          <w:p w14:paraId="78F7583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新训练数据若已是 1024 patch，应避免无意义 resize；后续 polygon consistency 需可选读取 JSON 元数据</w:t>
            </w:r>
          </w:p>
        </w:tc>
      </w:tr>
      <w:tr w14:paraId="5216A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0E9C7B3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data/transforms.py</w:t>
            </w:r>
          </w:p>
        </w:tc>
        <w:tc>
          <w:tcPr>
            <w:tcW w:w="4309" w:type="dxa"/>
            <w:vAlign w:val="center"/>
          </w:tcPr>
          <w:p w14:paraId="0A59732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含 ElasticTransform、±15%亮度对比度、GaussNoise</w:t>
            </w:r>
          </w:p>
        </w:tc>
        <w:tc>
          <w:tcPr>
            <w:tcW w:w="4309" w:type="dxa"/>
            <w:vAlign w:val="center"/>
          </w:tcPr>
          <w:p w14:paraId="5BE963C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新数据 pipeline 应删除/减弱相关增强</w:t>
            </w:r>
          </w:p>
        </w:tc>
      </w:tr>
      <w:tr w14:paraId="19A7D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075E5DC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train_new.py</w:t>
            </w:r>
          </w:p>
        </w:tc>
        <w:tc>
          <w:tcPr>
            <w:tcW w:w="4309" w:type="dxa"/>
            <w:vAlign w:val="center"/>
          </w:tcPr>
          <w:p w14:paraId="6A81493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固定 (seg,boundary) 接口；单 confusion matrix；best_iou/dice</w:t>
            </w:r>
          </w:p>
        </w:tc>
        <w:tc>
          <w:tcPr>
            <w:tcW w:w="4309" w:type="dxa"/>
            <w:vAlign w:val="center"/>
          </w:tcPr>
          <w:p w14:paraId="20D2F06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新训练入口需独立实现多 head loss/metric/checkpoint</w:t>
            </w:r>
          </w:p>
        </w:tc>
      </w:tr>
      <w:tr w14:paraId="3EC31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490E3F4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utils/metric_JZW.py</w:t>
            </w:r>
          </w:p>
        </w:tc>
        <w:tc>
          <w:tcPr>
            <w:tcW w:w="4309" w:type="dxa"/>
            <w:vAlign w:val="center"/>
          </w:tcPr>
          <w:p w14:paraId="4395338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面向单一多类 seg 的混淆矩阵指标</w:t>
            </w:r>
          </w:p>
        </w:tc>
        <w:tc>
          <w:tcPr>
            <w:tcW w:w="4309" w:type="dxa"/>
            <w:vAlign w:val="center"/>
          </w:tcPr>
          <w:p w14:paraId="40B187B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新指标需要 inclusion Precision/F1 + 定向 FP rate</w:t>
            </w:r>
          </w:p>
        </w:tc>
      </w:tr>
      <w:tr w14:paraId="5ECFE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3D91EFC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infer_new.py</w:t>
            </w:r>
          </w:p>
        </w:tc>
        <w:tc>
          <w:tcPr>
            <w:tcW w:w="4309" w:type="dxa"/>
            <w:vAlign w:val="center"/>
          </w:tcPr>
          <w:p w14:paraId="5D978CD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单模型 seg 推理，带 FP16/TTA/滑窗/后处理</w:t>
            </w:r>
          </w:p>
        </w:tc>
        <w:tc>
          <w:tcPr>
            <w:tcW w:w="4309" w:type="dxa"/>
            <w:vAlign w:val="center"/>
          </w:tcPr>
          <w:p w14:paraId="70F6F6E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新推理入口需共享 backbone 一次计算并融合 gate/strip/point 输出</w:t>
            </w:r>
          </w:p>
        </w:tc>
      </w:tr>
      <w:tr w14:paraId="1A7B4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03B6DD7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export_onnx_v2.py</w:t>
            </w:r>
          </w:p>
        </w:tc>
        <w:tc>
          <w:tcPr>
            <w:tcW w:w="4309" w:type="dxa"/>
            <w:vAlign w:val="center"/>
          </w:tcPr>
          <w:p w14:paraId="46BE29B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按旧模型输出签名导出</w:t>
            </w:r>
          </w:p>
        </w:tc>
        <w:tc>
          <w:tcPr>
            <w:tcW w:w="4309" w:type="dxa"/>
            <w:vAlign w:val="center"/>
          </w:tcPr>
          <w:p w14:paraId="48AF3A3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后续需要独立 ONNX 导出文件</w:t>
            </w:r>
          </w:p>
        </w:tc>
      </w:tr>
    </w:tbl>
    <w:p w14:paraId="6DEA9014">
      <w:pPr>
        <w:rPr>
          <w:rFonts w:ascii="Times New Roman" w:hAnsi="Times New Roman" w:eastAsia="宋体"/>
        </w:rPr>
      </w:pPr>
    </w:p>
    <w:p w14:paraId="524601E3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11. 新代码目录规划（原则：不修改原网络结构文件）</w:t>
      </w:r>
    </w:p>
    <w:p w14:paraId="0B6C965E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建议不要在现有 models/ 下直接修改。新建独立包 inclusion_v2/，所有新网络结构在该目录内部自洽实现。旧 models/、losses/、train_new.py、infer_new.py 保留为基线和回退方案。</w:t>
      </w:r>
    </w:p>
    <w:p w14:paraId="2E238488">
      <w:pPr>
        <w:pStyle w:val="164"/>
        <w:spacing w:after="120"/>
        <w:ind w:left="28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inclusion_v2/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├── __init__.py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├── models/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│   ├── __init__.py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│   ├── encoder.py              # DINOv3；正确 token；L4/L8/L12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│   ├── fusion.py               # 轻量多层融合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│   ├── residual_block.py       # 新目录独立实现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│   ├── shared_decoder.py       # 共享四级 decoder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│   ├── heads.py                # gate / strip / point / boundary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│   └── model.py                # InclusionDualExpertNet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├── losses/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│   ├── __init__.py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│   ├── dice.py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│   ├── ohem.py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│   ├── rejection.py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│   ├── boundary.py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│   └── total_loss.py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├── data/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│   ├── __init__.py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│   ├── dataset.py              # 1024 patch 数据；生成 gate/strip/point target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│   ├── transforms.py           # 新增强策略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│   └── label_mapping.py        # 类别映射、ignore index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├── metrics/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│   ├── __init__.py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│   └── inclusion_metrics.py    # Precision/Recall/F1、关键 FP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└── utils/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├── __init__.py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└── output_fusion.py        # gate + specialist 概率合成</w:t>
      </w:r>
      <w:r>
        <w:rPr>
          <w:rFonts w:ascii="Times New Roman" w:hAnsi="Times New Roman" w:eastAsia="宋体"/>
        </w:rPr>
        <w:br w:type="textWrapping"/>
      </w:r>
    </w:p>
    <w:p w14:paraId="47F66BA1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11.1 新增顶层入口文件</w:t>
      </w:r>
    </w:p>
    <w:p w14:paraId="38B701C2">
      <w:pPr>
        <w:pStyle w:val="164"/>
        <w:spacing w:after="120"/>
        <w:ind w:left="28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train_inclusion_v2.py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infer_inclusion_v2.py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export_onnx_inclusion_v2.py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# 后续 MVP-2 可新增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mine_hard_negatives.py</w:t>
      </w:r>
      <w:r>
        <w:rPr>
          <w:rFonts w:ascii="Times New Roman" w:hAnsi="Times New Roman" w:eastAsia="宋体"/>
        </w:rPr>
        <w:br w:type="textWrapping"/>
      </w:r>
    </w:p>
    <w:p w14:paraId="78883BD8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11.2 旧文件修改原则</w:t>
      </w:r>
    </w:p>
    <w:p w14:paraId="0722B914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第一阶段建议旧文件全部不改。若为了复用通用工具必须调整，也优先通过新入口 import 旧的通用 scheduler/logger，而不修改旧实现。尤其不要修改 models/dinov3_encoder.py、models/decoder_v3.py、models/dinov3_segmentation.py，确保旧模型可复现实验结果。</w:t>
      </w:r>
    </w:p>
    <w:p w14:paraId="135ADF64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12. 需要创建/调整的代码清单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"/>
        <w:gridCol w:w="3498"/>
        <w:gridCol w:w="4725"/>
        <w:gridCol w:w="1023"/>
      </w:tblGrid>
      <w:tr w14:paraId="67CBA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783F4D1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优先级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4B98D28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766FC0D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工作内容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08230A9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是否改旧文件</w:t>
            </w:r>
          </w:p>
        </w:tc>
      </w:tr>
      <w:tr w14:paraId="6B743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1DFCC0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w="3515" w:type="dxa"/>
            <w:vAlign w:val="center"/>
          </w:tcPr>
          <w:p w14:paraId="10690FD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inclusion_v2/models/encoder.py</w:t>
            </w:r>
          </w:p>
        </w:tc>
        <w:tc>
          <w:tcPr>
            <w:tcW w:w="5669" w:type="dxa"/>
            <w:vAlign w:val="center"/>
          </w:tcPr>
          <w:p w14:paraId="739BA9A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加载现有 DINOv3；修 register token；选择 L4/L8/L12；支持 freeze/unfreeze</w:t>
            </w:r>
          </w:p>
        </w:tc>
        <w:tc>
          <w:tcPr>
            <w:tcW w:w="1247" w:type="dxa"/>
            <w:vAlign w:val="center"/>
          </w:tcPr>
          <w:p w14:paraId="4D3E119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</w:tr>
      <w:tr w14:paraId="5C67C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578275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w="3515" w:type="dxa"/>
            <w:vAlign w:val="center"/>
          </w:tcPr>
          <w:p w14:paraId="2D13D23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inclusion_v2/models/fusion.py</w:t>
            </w:r>
          </w:p>
        </w:tc>
        <w:tc>
          <w:tcPr>
            <w:tcW w:w="5669" w:type="dxa"/>
            <w:vAlign w:val="center"/>
          </w:tcPr>
          <w:p w14:paraId="2068EE5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轻量三层融合，避免 CBAM 重计算</w:t>
            </w:r>
          </w:p>
        </w:tc>
        <w:tc>
          <w:tcPr>
            <w:tcW w:w="1247" w:type="dxa"/>
            <w:vAlign w:val="center"/>
          </w:tcPr>
          <w:p w14:paraId="549B0DC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</w:tr>
      <w:tr w14:paraId="11DAE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B6B712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w="3515" w:type="dxa"/>
            <w:vAlign w:val="center"/>
          </w:tcPr>
          <w:p w14:paraId="7CBD8CC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inclusion_v2/models/shared_decoder.py</w:t>
            </w:r>
          </w:p>
        </w:tc>
        <w:tc>
          <w:tcPr>
            <w:tcW w:w="5669" w:type="dxa"/>
            <w:vAlign w:val="center"/>
          </w:tcPr>
          <w:p w14:paraId="52A3D8D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新目录独立实现共享 decoder</w:t>
            </w:r>
          </w:p>
        </w:tc>
        <w:tc>
          <w:tcPr>
            <w:tcW w:w="1247" w:type="dxa"/>
            <w:vAlign w:val="center"/>
          </w:tcPr>
          <w:p w14:paraId="5993531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</w:tr>
      <w:tr w14:paraId="23F5B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3EF0A7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w="3515" w:type="dxa"/>
            <w:vAlign w:val="center"/>
          </w:tcPr>
          <w:p w14:paraId="0B86D0D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inclusion_v2/models/heads.py</w:t>
            </w:r>
          </w:p>
        </w:tc>
        <w:tc>
          <w:tcPr>
            <w:tcW w:w="5669" w:type="dxa"/>
            <w:vAlign w:val="center"/>
          </w:tcPr>
          <w:p w14:paraId="02A59DC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Gate、Strip、Point、可选 Boundary Head</w:t>
            </w:r>
          </w:p>
        </w:tc>
        <w:tc>
          <w:tcPr>
            <w:tcW w:w="1247" w:type="dxa"/>
            <w:vAlign w:val="center"/>
          </w:tcPr>
          <w:p w14:paraId="58B90D1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</w:tr>
      <w:tr w14:paraId="5754D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E109A3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w="3515" w:type="dxa"/>
            <w:vAlign w:val="center"/>
          </w:tcPr>
          <w:p w14:paraId="694BCF4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inclusion_v2/models/model.py</w:t>
            </w:r>
          </w:p>
        </w:tc>
        <w:tc>
          <w:tcPr>
            <w:tcW w:w="5669" w:type="dxa"/>
            <w:vAlign w:val="center"/>
          </w:tcPr>
          <w:p w14:paraId="69107FE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统一 forward，返回 dict 输出</w:t>
            </w:r>
          </w:p>
        </w:tc>
        <w:tc>
          <w:tcPr>
            <w:tcW w:w="1247" w:type="dxa"/>
            <w:vAlign w:val="center"/>
          </w:tcPr>
          <w:p w14:paraId="58C713B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</w:tr>
      <w:tr w14:paraId="41C4C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BF3170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w="3515" w:type="dxa"/>
            <w:vAlign w:val="center"/>
          </w:tcPr>
          <w:p w14:paraId="4101B45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inclusion_v2/data/label_mapping.py</w:t>
            </w:r>
          </w:p>
        </w:tc>
        <w:tc>
          <w:tcPr>
            <w:tcW w:w="5669" w:type="dxa"/>
            <w:vAlign w:val="center"/>
          </w:tcPr>
          <w:p w14:paraId="5883212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定义 strip/point/gate 类别表和 ignore_index</w:t>
            </w:r>
          </w:p>
        </w:tc>
        <w:tc>
          <w:tcPr>
            <w:tcW w:w="1247" w:type="dxa"/>
            <w:vAlign w:val="center"/>
          </w:tcPr>
          <w:p w14:paraId="126F012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</w:tr>
      <w:tr w14:paraId="48F04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1E6036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w="3515" w:type="dxa"/>
            <w:vAlign w:val="center"/>
          </w:tcPr>
          <w:p w14:paraId="59F108C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inclusion_v2/data/dataset.py</w:t>
            </w:r>
          </w:p>
        </w:tc>
        <w:tc>
          <w:tcPr>
            <w:tcW w:w="5669" w:type="dxa"/>
            <w:vAlign w:val="center"/>
          </w:tcPr>
          <w:p w14:paraId="48D75A9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从现有 mask 生成三个 target；必要时保留 meta/JSON 路径</w:t>
            </w:r>
          </w:p>
        </w:tc>
        <w:tc>
          <w:tcPr>
            <w:tcW w:w="1247" w:type="dxa"/>
            <w:vAlign w:val="center"/>
          </w:tcPr>
          <w:p w14:paraId="2C75455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</w:tr>
      <w:tr w14:paraId="51B8A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11ED16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w="3515" w:type="dxa"/>
            <w:vAlign w:val="center"/>
          </w:tcPr>
          <w:p w14:paraId="57E1412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inclusion_v2/data/transforms.py</w:t>
            </w:r>
          </w:p>
        </w:tc>
        <w:tc>
          <w:tcPr>
            <w:tcW w:w="5669" w:type="dxa"/>
            <w:vAlign w:val="center"/>
          </w:tcPr>
          <w:p w14:paraId="6947F90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删除 Elastic；减弱亮度/对比度/噪声；保留合理 flip</w:t>
            </w:r>
          </w:p>
        </w:tc>
        <w:tc>
          <w:tcPr>
            <w:tcW w:w="1247" w:type="dxa"/>
            <w:vAlign w:val="center"/>
          </w:tcPr>
          <w:p w14:paraId="4375C84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</w:tr>
      <w:tr w14:paraId="46788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B77FCE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w="3515" w:type="dxa"/>
            <w:vAlign w:val="center"/>
          </w:tcPr>
          <w:p w14:paraId="32452F7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inclusion_v2/losses/ohem.py</w:t>
            </w:r>
          </w:p>
        </w:tc>
        <w:tc>
          <w:tcPr>
            <w:tcW w:w="5669" w:type="dxa"/>
            <w:vAlign w:val="center"/>
          </w:tcPr>
          <w:p w14:paraId="7D79FC4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专家 head OHEM/Focal CE</w:t>
            </w:r>
          </w:p>
        </w:tc>
        <w:tc>
          <w:tcPr>
            <w:tcW w:w="1247" w:type="dxa"/>
            <w:vAlign w:val="center"/>
          </w:tcPr>
          <w:p w14:paraId="0EB2E81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</w:tr>
      <w:tr w14:paraId="58C38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E8D144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w="3515" w:type="dxa"/>
            <w:vAlign w:val="center"/>
          </w:tcPr>
          <w:p w14:paraId="0E2D729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inclusion_v2/losses/rejection.py</w:t>
            </w:r>
          </w:p>
        </w:tc>
        <w:tc>
          <w:tcPr>
            <w:tcW w:w="5669" w:type="dxa"/>
            <w:vAlign w:val="center"/>
          </w:tcPr>
          <w:p w14:paraId="1DF60BB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HH→A/C、HC/SZ→D 单向惩罚</w:t>
            </w:r>
          </w:p>
        </w:tc>
        <w:tc>
          <w:tcPr>
            <w:tcW w:w="1247" w:type="dxa"/>
            <w:vAlign w:val="center"/>
          </w:tcPr>
          <w:p w14:paraId="021BCE4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</w:tr>
      <w:tr w14:paraId="537F9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901A08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w="3515" w:type="dxa"/>
            <w:vAlign w:val="center"/>
          </w:tcPr>
          <w:p w14:paraId="6521D01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inclusion_v2/losses/total_loss.py</w:t>
            </w:r>
          </w:p>
        </w:tc>
        <w:tc>
          <w:tcPr>
            <w:tcW w:w="5669" w:type="dxa"/>
            <w:vAlign w:val="center"/>
          </w:tcPr>
          <w:p w14:paraId="3FC4355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组合 gate/strip/point/boundary loss；支持 ignore</w:t>
            </w:r>
          </w:p>
        </w:tc>
        <w:tc>
          <w:tcPr>
            <w:tcW w:w="1247" w:type="dxa"/>
            <w:vAlign w:val="center"/>
          </w:tcPr>
          <w:p w14:paraId="44626F7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</w:tr>
      <w:tr w14:paraId="5F4D2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A877DB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w="3515" w:type="dxa"/>
            <w:vAlign w:val="center"/>
          </w:tcPr>
          <w:p w14:paraId="03F5B22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inclusion_v2/metrics/inclusion_metrics.py</w:t>
            </w:r>
          </w:p>
        </w:tc>
        <w:tc>
          <w:tcPr>
            <w:tcW w:w="5669" w:type="dxa"/>
            <w:vAlign w:val="center"/>
          </w:tcPr>
          <w:p w14:paraId="416E53F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Inclusion P/R/F1、各类 P/R、关键 FP rate</w:t>
            </w:r>
          </w:p>
        </w:tc>
        <w:tc>
          <w:tcPr>
            <w:tcW w:w="1247" w:type="dxa"/>
            <w:vAlign w:val="center"/>
          </w:tcPr>
          <w:p w14:paraId="2099AC9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</w:tr>
      <w:tr w14:paraId="0785E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F6CBBD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w="3515" w:type="dxa"/>
            <w:vAlign w:val="center"/>
          </w:tcPr>
          <w:p w14:paraId="3B896E9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inclusion_v2/utils/output_fusion.py</w:t>
            </w:r>
          </w:p>
        </w:tc>
        <w:tc>
          <w:tcPr>
            <w:tcW w:w="5669" w:type="dxa"/>
            <w:vAlign w:val="center"/>
          </w:tcPr>
          <w:p w14:paraId="62321AF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Gate 与 specialist probability 合成最终类别概率</w:t>
            </w:r>
          </w:p>
        </w:tc>
        <w:tc>
          <w:tcPr>
            <w:tcW w:w="1247" w:type="dxa"/>
            <w:vAlign w:val="center"/>
          </w:tcPr>
          <w:p w14:paraId="0C1C733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</w:tr>
      <w:tr w14:paraId="39F17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90E54A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w="3515" w:type="dxa"/>
            <w:vAlign w:val="center"/>
          </w:tcPr>
          <w:p w14:paraId="6CC4BCF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train_inclusion_v2.py</w:t>
            </w:r>
          </w:p>
        </w:tc>
        <w:tc>
          <w:tcPr>
            <w:tcW w:w="5669" w:type="dxa"/>
            <w:vAlign w:val="center"/>
          </w:tcPr>
          <w:p w14:paraId="1A834C9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新训练流程、多输出、多 loss、多指标、freeze/unfreeze、checkpoint</w:t>
            </w:r>
          </w:p>
        </w:tc>
        <w:tc>
          <w:tcPr>
            <w:tcW w:w="1247" w:type="dxa"/>
            <w:vAlign w:val="center"/>
          </w:tcPr>
          <w:p w14:paraId="194851A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</w:tr>
      <w:tr w14:paraId="56DE1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0F9E15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w="3515" w:type="dxa"/>
            <w:vAlign w:val="center"/>
          </w:tcPr>
          <w:p w14:paraId="17A0806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infer_inclusion_v2.py</w:t>
            </w:r>
          </w:p>
        </w:tc>
        <w:tc>
          <w:tcPr>
            <w:tcW w:w="5669" w:type="dxa"/>
            <w:vAlign w:val="center"/>
          </w:tcPr>
          <w:p w14:paraId="496EECD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1024 滑窗；一次 backbone；概率融合；最终只输出夹杂物</w:t>
            </w:r>
          </w:p>
        </w:tc>
        <w:tc>
          <w:tcPr>
            <w:tcW w:w="1247" w:type="dxa"/>
            <w:vAlign w:val="center"/>
          </w:tcPr>
          <w:p w14:paraId="4CFAD1F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</w:tr>
      <w:tr w14:paraId="76A8B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1EE021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w="3515" w:type="dxa"/>
            <w:vAlign w:val="center"/>
          </w:tcPr>
          <w:p w14:paraId="1E958E5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inclusion_v2/losses/consistency.py</w:t>
            </w:r>
          </w:p>
        </w:tc>
        <w:tc>
          <w:tcPr>
            <w:tcW w:w="5669" w:type="dxa"/>
            <w:vAlign w:val="center"/>
          </w:tcPr>
          <w:p w14:paraId="48A1405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MVP-2 polygon consistency</w:t>
            </w:r>
          </w:p>
        </w:tc>
        <w:tc>
          <w:tcPr>
            <w:tcW w:w="1247" w:type="dxa"/>
            <w:vAlign w:val="center"/>
          </w:tcPr>
          <w:p w14:paraId="6D0139D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</w:tr>
      <w:tr w14:paraId="7788F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8B686C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w="3515" w:type="dxa"/>
            <w:vAlign w:val="center"/>
          </w:tcPr>
          <w:p w14:paraId="0711CA3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mine_hard_negatives.py</w:t>
            </w:r>
          </w:p>
        </w:tc>
        <w:tc>
          <w:tcPr>
            <w:tcW w:w="5669" w:type="dxa"/>
            <w:vAlign w:val="center"/>
          </w:tcPr>
          <w:p w14:paraId="7639B961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自动收集背景高置信度 FP patch</w:t>
            </w:r>
          </w:p>
        </w:tc>
        <w:tc>
          <w:tcPr>
            <w:tcW w:w="1247" w:type="dxa"/>
            <w:vAlign w:val="center"/>
          </w:tcPr>
          <w:p w14:paraId="78D5F2B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</w:tr>
      <w:tr w14:paraId="79263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4CA104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P2</w:t>
            </w:r>
          </w:p>
        </w:tc>
        <w:tc>
          <w:tcPr>
            <w:tcW w:w="3515" w:type="dxa"/>
            <w:vAlign w:val="center"/>
          </w:tcPr>
          <w:p w14:paraId="5E9541C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inclusion_v2/models/detail_branch.py</w:t>
            </w:r>
          </w:p>
        </w:tc>
        <w:tc>
          <w:tcPr>
            <w:tcW w:w="5669" w:type="dxa"/>
            <w:vAlign w:val="center"/>
          </w:tcPr>
          <w:p w14:paraId="5F3FEA5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仅残留小目标问题明确后添加 1/4 detail skip</w:t>
            </w:r>
          </w:p>
        </w:tc>
        <w:tc>
          <w:tcPr>
            <w:tcW w:w="1247" w:type="dxa"/>
            <w:vAlign w:val="center"/>
          </w:tcPr>
          <w:p w14:paraId="3C4F207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</w:tr>
      <w:tr w14:paraId="7CBA6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A3B6B3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P2</w:t>
            </w:r>
          </w:p>
        </w:tc>
        <w:tc>
          <w:tcPr>
            <w:tcW w:w="3515" w:type="dxa"/>
            <w:vAlign w:val="center"/>
          </w:tcPr>
          <w:p w14:paraId="1BA82EC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export_onnx_inclusion_v2.py</w:t>
            </w:r>
          </w:p>
        </w:tc>
        <w:tc>
          <w:tcPr>
            <w:tcW w:w="5669" w:type="dxa"/>
            <w:vAlign w:val="center"/>
          </w:tcPr>
          <w:p w14:paraId="476CC81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稳定后再导出新模型多输出/融合接口</w:t>
            </w:r>
          </w:p>
        </w:tc>
        <w:tc>
          <w:tcPr>
            <w:tcW w:w="1247" w:type="dxa"/>
            <w:vAlign w:val="center"/>
          </w:tcPr>
          <w:p w14:paraId="529CFB8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</w:tr>
    </w:tbl>
    <w:p w14:paraId="734467D4">
      <w:pPr>
        <w:rPr>
          <w:rFonts w:ascii="Times New Roman" w:hAnsi="Times New Roman" w:eastAsia="宋体"/>
        </w:rPr>
      </w:pPr>
    </w:p>
    <w:p w14:paraId="51E438DD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13. 新模型接口建议</w:t>
      </w:r>
    </w:p>
    <w:p w14:paraId="4CF213CC">
      <w:pPr>
        <w:pStyle w:val="164"/>
        <w:spacing w:after="120"/>
        <w:ind w:left="28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outputs = model(images)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outputs = {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"gate":     gate_logits,      # [B, 3, H, W]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"strip":    strip_logits,     # [B, 9, H, W]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"point":    point_logits,     # [B, 4, H, W]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"boundary": boundary_logits,  # [B, 1, H, W]，可选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}</w:t>
      </w:r>
      <w:r>
        <w:rPr>
          <w:rFonts w:ascii="Times New Roman" w:hAnsi="Times New Roman" w:eastAsia="宋体"/>
        </w:rPr>
        <w:br w:type="textWrapping"/>
      </w:r>
    </w:p>
    <w:p w14:paraId="7FF93967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训练时各 head 使用自己的 target 与 ignore mask。推理时先 softmax，再由 output_fusion 组合为最终夹杂物概率图。最终展示阶段只保留 A、B、C、D、TINB/TINC、TIND。</w:t>
      </w:r>
    </w:p>
    <w:p w14:paraId="12151230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14. 后续实际编码建议顺序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4664"/>
        <w:gridCol w:w="4078"/>
      </w:tblGrid>
      <w:tr w14:paraId="10B6C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9EAF7"/>
            <w:vAlign w:val="center"/>
          </w:tcPr>
          <w:p w14:paraId="5F26C2F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阶段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26F92D1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6F45905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验收点</w:t>
            </w:r>
          </w:p>
        </w:tc>
      </w:tr>
      <w:tr w14:paraId="3FCC0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3F22157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Step 1</w:t>
            </w:r>
          </w:p>
        </w:tc>
        <w:tc>
          <w:tcPr>
            <w:tcW w:w="5102" w:type="dxa"/>
            <w:vAlign w:val="center"/>
          </w:tcPr>
          <w:p w14:paraId="2FD4E12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搭新目录、encoder、fusion、decoder、heads、model</w:t>
            </w:r>
          </w:p>
        </w:tc>
        <w:tc>
          <w:tcPr>
            <w:tcW w:w="4535" w:type="dxa"/>
            <w:vAlign w:val="center"/>
          </w:tcPr>
          <w:p w14:paraId="7585766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单次 forward shape 正确；速度接近旧单模型</w:t>
            </w:r>
          </w:p>
        </w:tc>
      </w:tr>
      <w:tr w14:paraId="4011A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3E38B58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Step 2</w:t>
            </w:r>
          </w:p>
        </w:tc>
        <w:tc>
          <w:tcPr>
            <w:tcW w:w="5102" w:type="dxa"/>
            <w:vAlign w:val="center"/>
          </w:tcPr>
          <w:p w14:paraId="257A203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target mapping + Dataset + Loss</w:t>
            </w:r>
          </w:p>
        </w:tc>
        <w:tc>
          <w:tcPr>
            <w:tcW w:w="4535" w:type="dxa"/>
            <w:vAlign w:val="center"/>
          </w:tcPr>
          <w:p w14:paraId="157A30E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strip/point ignore 正确；loss 可反传</w:t>
            </w:r>
          </w:p>
        </w:tc>
      </w:tr>
      <w:tr w14:paraId="7BD49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5B9B606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Step 3</w:t>
            </w:r>
          </w:p>
        </w:tc>
        <w:tc>
          <w:tcPr>
            <w:tcW w:w="5102" w:type="dxa"/>
            <w:vAlign w:val="center"/>
          </w:tcPr>
          <w:p w14:paraId="757C981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train_inclusion_v2.py + metrics</w:t>
            </w:r>
          </w:p>
        </w:tc>
        <w:tc>
          <w:tcPr>
            <w:tcW w:w="4535" w:type="dxa"/>
            <w:vAlign w:val="center"/>
          </w:tcPr>
          <w:p w14:paraId="0E8BAB8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可训练；输出 Inclusion Precision/F1 和定向 FP</w:t>
            </w:r>
          </w:p>
        </w:tc>
      </w:tr>
      <w:tr w14:paraId="2E62C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1A3DA56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Step 4</w:t>
            </w:r>
          </w:p>
        </w:tc>
        <w:tc>
          <w:tcPr>
            <w:tcW w:w="5102" w:type="dxa"/>
            <w:vAlign w:val="center"/>
          </w:tcPr>
          <w:p w14:paraId="0B315A88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infer_inclusion_v2.py</w:t>
            </w:r>
          </w:p>
        </w:tc>
        <w:tc>
          <w:tcPr>
            <w:tcW w:w="4535" w:type="dxa"/>
            <w:vAlign w:val="center"/>
          </w:tcPr>
          <w:p w14:paraId="028FAEB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1024 滑窗；只跑一次 DINO；只展示夹杂物</w:t>
            </w:r>
          </w:p>
        </w:tc>
      </w:tr>
      <w:tr w14:paraId="708D2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27F07F6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Step 5</w:t>
            </w:r>
          </w:p>
        </w:tc>
        <w:tc>
          <w:tcPr>
            <w:tcW w:w="5102" w:type="dxa"/>
            <w:vAlign w:val="center"/>
          </w:tcPr>
          <w:p w14:paraId="1A830B5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MVP-1 对比实验</w:t>
            </w:r>
          </w:p>
        </w:tc>
        <w:tc>
          <w:tcPr>
            <w:tcW w:w="4535" w:type="dxa"/>
            <w:vAlign w:val="center"/>
          </w:tcPr>
          <w:p w14:paraId="3706586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与当前双模型和单模型基线比较精度/速度</w:t>
            </w:r>
          </w:p>
        </w:tc>
      </w:tr>
      <w:tr w14:paraId="20E63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0044724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Step 6</w:t>
            </w:r>
          </w:p>
        </w:tc>
        <w:tc>
          <w:tcPr>
            <w:tcW w:w="5102" w:type="dxa"/>
            <w:vAlign w:val="center"/>
          </w:tcPr>
          <w:p w14:paraId="5A7E1B2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按误差加入 consistency / hard mining</w:t>
            </w:r>
          </w:p>
        </w:tc>
        <w:tc>
          <w:tcPr>
            <w:tcW w:w="4535" w:type="dxa"/>
            <w:vAlign w:val="center"/>
          </w:tcPr>
          <w:p w14:paraId="022B5D4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只增加被验证需要的模块</w:t>
            </w:r>
          </w:p>
        </w:tc>
      </w:tr>
      <w:tr w14:paraId="7AE0D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7181A74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Step 7</w:t>
            </w:r>
          </w:p>
        </w:tc>
        <w:tc>
          <w:tcPr>
            <w:tcW w:w="5102" w:type="dxa"/>
            <w:vAlign w:val="center"/>
          </w:tcPr>
          <w:p w14:paraId="390BEE1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必要时 detail branch</w:t>
            </w:r>
          </w:p>
        </w:tc>
        <w:tc>
          <w:tcPr>
            <w:tcW w:w="4535" w:type="dxa"/>
            <w:vAlign w:val="center"/>
          </w:tcPr>
          <w:p w14:paraId="79263290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仅小目标/细目标仍是主瓶颈时使用</w:t>
            </w:r>
          </w:p>
        </w:tc>
      </w:tr>
      <w:tr w14:paraId="34228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30D639F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Step 8</w:t>
            </w:r>
          </w:p>
        </w:tc>
        <w:tc>
          <w:tcPr>
            <w:tcW w:w="5102" w:type="dxa"/>
            <w:vAlign w:val="center"/>
          </w:tcPr>
          <w:p w14:paraId="3C98F29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ONNX 导出与部署性能测试</w:t>
            </w:r>
          </w:p>
        </w:tc>
        <w:tc>
          <w:tcPr>
            <w:tcW w:w="4535" w:type="dxa"/>
            <w:vAlign w:val="center"/>
          </w:tcPr>
          <w:p w14:paraId="1855AB16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最终模型稳定后再做</w:t>
            </w:r>
          </w:p>
        </w:tc>
      </w:tr>
    </w:tbl>
    <w:p w14:paraId="7AB5FC0C">
      <w:pPr>
        <w:rPr>
          <w:rFonts w:ascii="Times New Roman" w:hAnsi="Times New Roman" w:eastAsia="宋体"/>
        </w:rPr>
      </w:pPr>
    </w:p>
    <w:p w14:paraId="7415C94B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15. 实施时需要特别验证的风险点</w:t>
      </w:r>
    </w:p>
    <w:p w14:paraId="51249281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1）L4/L8/L12 在 HuggingFace hidden_states 中的精确索引需结合当前本地 dinov3_model 的 config/hidden_states 定义做一次单元测试，避免 off-by-one。</w:t>
      </w:r>
    </w:p>
    <w:p w14:paraId="6D380D47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2）Gate 的 strip/point 标签应覆盖相应干扰类别：HH/XW/XQL 属于 strip family；HC/SZ 属于 point family；Background 为 0。</w:t>
      </w:r>
    </w:p>
    <w:p w14:paraId="4CA7DF6E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3）若一张 patch 同时包含 strip 与 point 区域，Gate 必须是像素级三分类，而不是图像级分类。</w:t>
      </w:r>
    </w:p>
    <w:p w14:paraId="43CEE562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4）专家 head 的 ignore mask 必须在 Dice/OHEM 中一致处理，否则另一组类别仍会作为隐式 background 产生冲突。</w:t>
      </w:r>
    </w:p>
    <w:p w14:paraId="36D76AC7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5）推理时间测试必须以相同 1024 滑窗、相同 FP16/TTA 设置对比；MVP 的目标是接近旧单模型，而明显快于两套独立模型串行推理。</w:t>
      </w:r>
    </w:p>
    <w:p w14:paraId="2654D600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16. 结论</w:t>
      </w:r>
    </w:p>
    <w:p w14:paraId="33322138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本次改造的核心不是扩大网络，而是把历史上有效的“条状/点状分治”从“两套完整 DINOv3 模型”改造成“共享一次 DINOv3 + 共享 Decoder + 双专家 Head”。第一阶段只加入几乎不增加推理成本的结构与训练约束：正确 token、L4/L8/L12、轻量 Fusion、Gate、Strip/Point 双专家、OHEM、定向 rejection、轻量 Boundary。</w:t>
      </w:r>
    </w:p>
    <w:p w14:paraId="15AA65F6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A/C 一致性、背景 hard-negative mining 均放在第二阶段，主要增加训练成本而不增加推理成本；高分辨率 detail branch 放到第三阶段，只有当小目标/细目标仍是主要瓶颈时再加入。</w:t>
      </w:r>
    </w:p>
    <w:p w14:paraId="332E626E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所有新网络结构建议完全放在 inclusion_v2/ 中，旧 models/ 与现有训练/推理脚本保留不动，从而保证现有实验可复现、可回退，也便于后续逐阶段 ablation。</w:t>
      </w:r>
    </w:p>
    <w:sectPr>
      <w:footerReference r:id="rId5" w:type="default"/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2D198E">
    <w:pPr>
      <w:pStyle w:val="24"/>
      <w:jc w:val="center"/>
    </w:pPr>
    <w:r>
      <w:rPr>
        <w:sz w:val="16"/>
      </w:rPr>
      <w:t>DINOv3 非金属夹杂物识别改进方案 - 方案整理版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D3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Small"/>
    <w:uiPriority w:val="0"/>
    <w:pPr>
      <w:spacing w:after="200" w:line="276" w:lineRule="auto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232</Words>
  <Characters>283</Characters>
  <Lines>0</Lines>
  <Paragraphs>0</Paragraphs>
  <TotalTime>2</TotalTime>
  <ScaleCrop>false</ScaleCrop>
  <LinksUpToDate>false</LinksUpToDate>
  <CharactersWithSpaces>294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</cp:lastModifiedBy>
  <dcterms:modified xsi:type="dcterms:W3CDTF">2026-08-25T08:58:53Z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eyJoZGlkIjoiOGFkM2Y2OWNiMDZlNGMwNWQ3YTczNWNiZmJkMTJhZTYiLCJ1c2VySWQiOiI0NTA1NzU5NzMifQ==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E96267D1319C426CAE27B6F2D0E35920_12</vt:lpwstr>
  </property>
</Properties>
</file>