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当你想查看一个tensor在训练过程的值的分布情况时，可通过下面的语句将其分布的统计情况显示在tensorboard页面中：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tf.summary.histogram(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'summary_name'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, tensor)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Tensorboard有两个选项卡查看</w:t>
      </w: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histogram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的结果：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HISTOGRAMS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和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DISTRIBUTIONS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 前者以直方形式显示统计结果， 后者提供更为抽象的统计信息。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直方图有两种显示模式：</w:t>
      </w: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OVERLAY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和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OFFSET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 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OVERLAY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的含义是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覆盖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 对应的模式如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图所示。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4229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各轴含义如下：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横轴：值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纵轴：数量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不同的线代表不同的时间/step。如果较晚的线与较早的线重合，就以覆盖方式画线。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将鼠标停留在一个点上，会加黑显示三个数字，含义是：在step xxx1时，有xxx2个元素的值（约等于）xxx3。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OFFSET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模式：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35242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各轴坐标含义：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横轴：仍然是值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纵轴：变成了时间/step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数量要将鼠标停在图片才会显示。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1C7A"/>
    <w:multiLevelType w:val="multilevel"/>
    <w:tmpl w:val="5A3E1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E1CAB"/>
    <w:multiLevelType w:val="multilevel"/>
    <w:tmpl w:val="5A3E1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2017-12-23T09:02:50Z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