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ir-IE"/>
        </w:rPr>
      </w:pPr>
      <w:r>
        <w:rPr>
          <w:b/>
          <w:sz w:val="36"/>
          <w:szCs w:val="36"/>
          <w:lang w:val="ir-IE"/>
        </w:rPr>
        <w:t>The Threads</w:t>
      </w:r>
    </w:p>
    <w:p>
      <w:pPr>
        <w:rPr>
          <w:b/>
          <w:bCs/>
        </w:rPr>
      </w:pPr>
      <w:r>
        <w:rPr>
          <w:b/>
          <w:bCs/>
        </w:rPr>
        <w:t>Submission:</w:t>
      </w:r>
    </w:p>
    <w:p>
      <w:pPr>
        <w:pStyle w:val="6"/>
        <w:numPr>
          <w:ilvl w:val="0"/>
          <w:numId w:val="1"/>
        </w:numPr>
        <w:rPr>
          <w:lang w:eastAsia="zh-CN"/>
        </w:rPr>
      </w:pPr>
      <w:r>
        <w:t xml:space="preserve">Deadline: </w:t>
      </w:r>
      <w:r>
        <w:rPr>
          <w:lang w:eastAsia="zh-CN"/>
        </w:rPr>
        <w:t>Sunday, March 3, 2024, 23:59 pm HKT.</w:t>
      </w:r>
    </w:p>
    <w:p>
      <w:pPr>
        <w:pStyle w:val="30"/>
        <w:numPr>
          <w:ilvl w:val="0"/>
          <w:numId w:val="1"/>
        </w:numPr>
        <w:spacing w:after="0"/>
        <w:ind w:left="357" w:hanging="357"/>
        <w:jc w:val="both"/>
        <w:rPr>
          <w:lang w:val="ir-IE"/>
        </w:rPr>
      </w:pPr>
      <w:r>
        <w:rPr>
          <w:color w:val="FF0000"/>
          <w:highlight w:val="yellow"/>
          <w:lang w:val="ir-IE"/>
        </w:rPr>
        <w:t>Answers are allowed in text only. Any form of image/snapshot is not allowed.</w:t>
      </w:r>
    </w:p>
    <w:p>
      <w:pPr>
        <w:pStyle w:val="27"/>
        <w:numPr>
          <w:ilvl w:val="0"/>
          <w:numId w:val="1"/>
        </w:numPr>
      </w:pPr>
      <w:r>
        <w:t>Submit this answer sheet via Canvas-&gt;Assignments-&gt;Tutorial 3.</w:t>
      </w:r>
    </w:p>
    <w:p/>
    <w:p>
      <w:pPr>
        <w:shd w:val="clear" w:color="auto" w:fill="FADBE8"/>
        <w:jc w:val="both"/>
        <w:rPr>
          <w:b/>
          <w:sz w:val="28"/>
          <w:szCs w:val="28"/>
          <w:u w:val="single"/>
        </w:rPr>
      </w:pPr>
      <w:r>
        <w:rPr>
          <w:b/>
          <w:sz w:val="28"/>
          <w:szCs w:val="28"/>
          <w:u w:val="single"/>
          <w:lang w:eastAsia="zh-CN"/>
        </w:rPr>
        <w:t>Questions</w:t>
      </w:r>
    </w:p>
    <w:p>
      <w:pPr>
        <w:pStyle w:val="29"/>
        <w:jc w:val="both"/>
      </w:pPr>
      <w:r>
        <w:rPr>
          <w:b/>
          <w:bCs/>
        </w:rPr>
        <w:t>Question 1</w:t>
      </w:r>
      <w:r>
        <w:t>: Let’s examine a simple program, “</w:t>
      </w:r>
      <w:r>
        <w:rPr>
          <w:rFonts w:ascii="Consolas" w:hAnsi="Consolas"/>
        </w:rPr>
        <w:t>loop.s</w:t>
      </w:r>
      <w:r>
        <w:t>”. First, just read and understand it. Then, run it with these arguments (</w:t>
      </w:r>
      <w:r>
        <w:rPr>
          <w:rFonts w:ascii="Consolas" w:hAnsi="Consolas"/>
        </w:rPr>
        <w:t>./x86.py -p loop.s -t 1 -i 100 -R dx</w:t>
      </w:r>
      <w:r>
        <w:t xml:space="preserve">). This specifies a single thread, an interrupt every 100 instructions, and tracing of register </w:t>
      </w:r>
      <w:r>
        <w:rPr>
          <w:rFonts w:ascii="Consolas" w:hAnsi="Consolas"/>
        </w:rPr>
        <w:t>%dx</w:t>
      </w:r>
      <w:r>
        <w:t xml:space="preserve">. What will </w:t>
      </w:r>
      <w:r>
        <w:rPr>
          <w:rFonts w:ascii="Consolas" w:hAnsi="Consolas"/>
        </w:rPr>
        <w:t>%dx</w:t>
      </w:r>
      <w:r>
        <w:t xml:space="preserve"> be during the run? Use the </w:t>
      </w:r>
      <w:r>
        <w:rPr>
          <w:rFonts w:ascii="Consolas" w:hAnsi="Consolas"/>
        </w:rPr>
        <w:t>-c</w:t>
      </w:r>
      <w:r>
        <w:t xml:space="preserve"> flag to check your answers; the answers, on the left, show the value of the register (or memory value) after the instruction on the right has run.</w:t>
      </w:r>
    </w:p>
    <w:p>
      <w:pPr>
        <w:pStyle w:val="29"/>
        <w:rPr>
          <w:b/>
          <w:bCs/>
        </w:rPr>
      </w:pPr>
      <w:r>
        <w:rPr>
          <w:b/>
          <w:bCs/>
        </w:rPr>
        <w:t xml:space="preserve">Answer: </w:t>
      </w:r>
    </w:p>
    <w:p>
      <w:pPr>
        <w:pStyle w:val="29"/>
        <w:rPr>
          <w:rFonts w:hint="default"/>
          <w:highlight w:val="yellow"/>
          <w:lang w:val="en-US"/>
        </w:rPr>
      </w:pPr>
      <w:r>
        <w:rPr>
          <w:highlight w:val="yellow"/>
        </w:rPr>
        <w:t xml:space="preserve"> </w:t>
      </w:r>
      <w:r>
        <w:rPr>
          <w:rFonts w:hint="default"/>
          <w:highlight w:val="yellow"/>
          <w:lang w:val="en-US"/>
        </w:rPr>
        <w:t>%dx would be -1 during the run. This is because since we did not set the initial value of the dx register, then the default value is 0, after the instruction “sub $1, %dx”, which subtracts the immediate value 1 from the value in the %dx register, the value stored in dx would be -1. Since 0 is greater than -1, then we will not jump to the .top but halt the program. Then the register dx’s value would be -1 through out the instructions.</w:t>
      </w:r>
    </w:p>
    <w:p>
      <w:pPr>
        <w:pStyle w:val="29"/>
        <w:rPr>
          <w:rFonts w:hint="default"/>
          <w:highlight w:val="yellow"/>
          <w:lang w:val="en-US"/>
        </w:rPr>
      </w:pPr>
      <w:r>
        <w:rPr>
          <w:rFonts w:hint="default"/>
          <w:highlight w:val="yellow"/>
          <w:lang w:val="en-US"/>
        </w:rPr>
        <w:t>Below is the output:</w:t>
      </w:r>
    </w:p>
    <w:p>
      <w:pPr>
        <w:pStyle w:val="29"/>
        <w:rPr>
          <w:rFonts w:hint="default"/>
          <w:highlight w:val="yellow"/>
          <w:lang w:val="en-US"/>
        </w:rPr>
      </w:pPr>
      <w:r>
        <w:rPr>
          <w:rFonts w:hint="default"/>
          <w:highlight w:val="yellow"/>
          <w:lang w:val="en-US"/>
        </w:rPr>
        <w:t xml:space="preserve">   dx   Thread 0</w:t>
      </w:r>
    </w:p>
    <w:p>
      <w:pPr>
        <w:pStyle w:val="29"/>
        <w:rPr>
          <w:rFonts w:hint="default"/>
          <w:highlight w:val="yellow"/>
          <w:lang w:val="en-US"/>
        </w:rPr>
      </w:pPr>
      <w:r>
        <w:rPr>
          <w:rFonts w:hint="default"/>
          <w:highlight w:val="yellow"/>
          <w:lang w:val="en-US"/>
        </w:rPr>
        <w:t xml:space="preserve">    0</w:t>
      </w:r>
    </w:p>
    <w:p>
      <w:pPr>
        <w:pStyle w:val="29"/>
        <w:rPr>
          <w:rFonts w:hint="default"/>
          <w:highlight w:val="yellow"/>
          <w:lang w:val="en-US"/>
        </w:rPr>
      </w:pPr>
      <w:r>
        <w:rPr>
          <w:rFonts w:hint="default"/>
          <w:highlight w:val="yellow"/>
          <w:lang w:val="en-US"/>
        </w:rPr>
        <w:t xml:space="preserve">   -1   1000 sub  $1,%dx</w:t>
      </w:r>
    </w:p>
    <w:p>
      <w:pPr>
        <w:pStyle w:val="29"/>
        <w:rPr>
          <w:rFonts w:hint="default"/>
          <w:highlight w:val="yellow"/>
          <w:lang w:val="en-US"/>
        </w:rPr>
      </w:pPr>
      <w:r>
        <w:rPr>
          <w:rFonts w:hint="default"/>
          <w:highlight w:val="yellow"/>
          <w:lang w:val="en-US"/>
        </w:rPr>
        <w:t xml:space="preserve">   -1   1001 test $0,%dx</w:t>
      </w:r>
    </w:p>
    <w:p>
      <w:pPr>
        <w:pStyle w:val="29"/>
        <w:rPr>
          <w:rFonts w:hint="default"/>
          <w:highlight w:val="yellow"/>
          <w:lang w:val="en-US"/>
        </w:rPr>
      </w:pPr>
      <w:r>
        <w:rPr>
          <w:rFonts w:hint="default"/>
          <w:highlight w:val="yellow"/>
          <w:lang w:val="en-US"/>
        </w:rPr>
        <w:t xml:space="preserve">   -1   1002 jgte .top</w:t>
      </w:r>
    </w:p>
    <w:p>
      <w:pPr>
        <w:pStyle w:val="29"/>
        <w:rPr>
          <w:rFonts w:hint="default"/>
          <w:highlight w:val="yellow"/>
          <w:lang w:val="en-US"/>
        </w:rPr>
      </w:pPr>
      <w:r>
        <w:rPr>
          <w:rFonts w:hint="default"/>
          <w:highlight w:val="yellow"/>
          <w:lang w:val="en-US"/>
        </w:rPr>
        <w:t xml:space="preserve">   -1   1003 halt</w:t>
      </w:r>
    </w:p>
    <w:p>
      <w:pPr>
        <w:pStyle w:val="29"/>
        <w:rPr>
          <w:rFonts w:hint="default"/>
          <w:lang w:val="en-US"/>
        </w:rPr>
      </w:pPr>
    </w:p>
    <w:p>
      <w:pPr>
        <w:pStyle w:val="29"/>
        <w:rPr>
          <w:rFonts w:hint="default"/>
          <w:lang w:val="en-US"/>
        </w:rPr>
      </w:pPr>
    </w:p>
    <w:p>
      <w:pPr>
        <w:pStyle w:val="29"/>
        <w:rPr>
          <w:rFonts w:hint="default"/>
          <w:lang w:val="en-US" w:eastAsia="zh-CN"/>
        </w:rPr>
      </w:pPr>
    </w:p>
    <w:p>
      <w:pPr>
        <w:pStyle w:val="29"/>
        <w:rPr>
          <w:b/>
          <w:bCs/>
        </w:rPr>
      </w:pPr>
    </w:p>
    <w:p>
      <w:pPr>
        <w:pStyle w:val="29"/>
        <w:rPr>
          <w:b/>
          <w:bCs/>
        </w:rPr>
      </w:pPr>
    </w:p>
    <w:p>
      <w:pPr>
        <w:pStyle w:val="29"/>
        <w:rPr>
          <w:b/>
          <w:bCs/>
        </w:rPr>
      </w:pPr>
    </w:p>
    <w:p>
      <w:pPr>
        <w:pStyle w:val="29"/>
        <w:jc w:val="both"/>
      </w:pPr>
      <w:r>
        <w:rPr>
          <w:b/>
          <w:bCs/>
        </w:rPr>
        <w:t>Question 2</w:t>
      </w:r>
      <w:r>
        <w:t>: Same code, different flags: (</w:t>
      </w:r>
      <w:r>
        <w:rPr>
          <w:rFonts w:ascii="Consolas" w:hAnsi="Consolas"/>
        </w:rPr>
        <w:t>./x86.py -p loop.s -t 2 -i 100 -a dx=3,dx=3 -R dx</w:t>
      </w:r>
      <w:r>
        <w:t xml:space="preserve">). This specifies two threads, and initializes each </w:t>
      </w:r>
      <w:r>
        <w:rPr>
          <w:rFonts w:ascii="Consolas" w:hAnsi="Consolas"/>
        </w:rPr>
        <w:t>%dx</w:t>
      </w:r>
      <w:r>
        <w:t xml:space="preserve"> to 3. What values will </w:t>
      </w:r>
      <w:r>
        <w:rPr>
          <w:rFonts w:ascii="Consolas" w:hAnsi="Consolas"/>
        </w:rPr>
        <w:t>%dx</w:t>
      </w:r>
      <w:r>
        <w:t xml:space="preserve"> see? Run with </w:t>
      </w:r>
      <w:r>
        <w:rPr>
          <w:rFonts w:ascii="Consolas" w:hAnsi="Consolas"/>
        </w:rPr>
        <w:t>-c</w:t>
      </w:r>
      <w:r>
        <w:t xml:space="preserve"> to check. Does the presence of multiple threads affect your calculations? Is there a race in this code?</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The output is as follows:</w:t>
      </w:r>
    </w:p>
    <w:p>
      <w:pPr>
        <w:pStyle w:val="29"/>
        <w:rPr>
          <w:rFonts w:hint="default"/>
          <w:highlight w:val="yellow"/>
          <w:lang w:val="en-US"/>
        </w:rPr>
      </w:pPr>
    </w:p>
    <w:p>
      <w:pPr>
        <w:pStyle w:val="29"/>
        <w:rPr>
          <w:rFonts w:hint="default"/>
          <w:highlight w:val="yellow"/>
          <w:lang w:val="en-US"/>
        </w:rPr>
      </w:pPr>
      <w:r>
        <w:rPr>
          <w:rFonts w:hint="default"/>
          <w:highlight w:val="yellow"/>
          <w:lang w:val="en-US"/>
        </w:rPr>
        <w:t xml:space="preserve">   dx    Thread 0           Thread 1</w:t>
      </w:r>
    </w:p>
    <w:p>
      <w:pPr>
        <w:pStyle w:val="29"/>
        <w:rPr>
          <w:rFonts w:hint="default"/>
          <w:highlight w:val="yellow"/>
          <w:lang w:val="en-US"/>
        </w:rPr>
      </w:pPr>
      <w:r>
        <w:rPr>
          <w:rFonts w:hint="default"/>
          <w:highlight w:val="yellow"/>
          <w:lang w:val="en-US"/>
        </w:rPr>
        <w:t xml:space="preserve">    3</w:t>
      </w:r>
    </w:p>
    <w:p>
      <w:pPr>
        <w:pStyle w:val="29"/>
        <w:rPr>
          <w:rFonts w:hint="default"/>
          <w:highlight w:val="yellow"/>
          <w:lang w:val="en-US"/>
        </w:rPr>
      </w:pPr>
      <w:r>
        <w:rPr>
          <w:rFonts w:hint="default"/>
          <w:highlight w:val="yellow"/>
          <w:lang w:val="en-US"/>
        </w:rPr>
        <w:t xml:space="preserve">    2   1000 sub  $1,%dx</w:t>
      </w:r>
    </w:p>
    <w:p>
      <w:pPr>
        <w:pStyle w:val="29"/>
        <w:rPr>
          <w:rFonts w:hint="default"/>
          <w:highlight w:val="yellow"/>
          <w:lang w:val="en-US"/>
        </w:rPr>
      </w:pPr>
      <w:r>
        <w:rPr>
          <w:rFonts w:hint="default"/>
          <w:highlight w:val="yellow"/>
          <w:lang w:val="en-US"/>
        </w:rPr>
        <w:t xml:space="preserve">    2   1001 test $0,%dx</w:t>
      </w:r>
    </w:p>
    <w:p>
      <w:pPr>
        <w:pStyle w:val="29"/>
        <w:rPr>
          <w:rFonts w:hint="default"/>
          <w:highlight w:val="yellow"/>
          <w:lang w:val="en-US"/>
        </w:rPr>
      </w:pPr>
      <w:r>
        <w:rPr>
          <w:rFonts w:hint="default"/>
          <w:highlight w:val="yellow"/>
          <w:lang w:val="en-US"/>
        </w:rPr>
        <w:t xml:space="preserve">    2   1002 jgte .top</w:t>
      </w:r>
    </w:p>
    <w:p>
      <w:pPr>
        <w:pStyle w:val="29"/>
        <w:rPr>
          <w:rFonts w:hint="default"/>
          <w:highlight w:val="yellow"/>
          <w:lang w:val="en-US"/>
        </w:rPr>
      </w:pPr>
      <w:r>
        <w:rPr>
          <w:rFonts w:hint="default"/>
          <w:highlight w:val="yellow"/>
          <w:lang w:val="en-US"/>
        </w:rPr>
        <w:t xml:space="preserve">    1   1000 sub  $1,%dx</w:t>
      </w:r>
    </w:p>
    <w:p>
      <w:pPr>
        <w:pStyle w:val="29"/>
        <w:rPr>
          <w:rFonts w:hint="default"/>
          <w:highlight w:val="yellow"/>
          <w:lang w:val="en-US"/>
        </w:rPr>
      </w:pPr>
      <w:r>
        <w:rPr>
          <w:rFonts w:hint="default"/>
          <w:highlight w:val="yellow"/>
          <w:lang w:val="en-US"/>
        </w:rPr>
        <w:t xml:space="preserve">    1   1001 test $0,%dx</w:t>
      </w:r>
    </w:p>
    <w:p>
      <w:pPr>
        <w:pStyle w:val="29"/>
        <w:rPr>
          <w:rFonts w:hint="default"/>
          <w:highlight w:val="yellow"/>
          <w:lang w:val="en-US"/>
        </w:rPr>
      </w:pPr>
      <w:r>
        <w:rPr>
          <w:rFonts w:hint="default"/>
          <w:highlight w:val="yellow"/>
          <w:lang w:val="en-US"/>
        </w:rPr>
        <w:t xml:space="preserve">    1   1002 jgte .top</w:t>
      </w:r>
    </w:p>
    <w:p>
      <w:pPr>
        <w:pStyle w:val="29"/>
        <w:rPr>
          <w:rFonts w:hint="default"/>
          <w:highlight w:val="yellow"/>
          <w:lang w:val="en-US"/>
        </w:rPr>
      </w:pPr>
      <w:r>
        <w:rPr>
          <w:rFonts w:hint="default"/>
          <w:highlight w:val="yellow"/>
          <w:lang w:val="en-US"/>
        </w:rPr>
        <w:t xml:space="preserve">    0   1000 sub  $1,%dx</w:t>
      </w:r>
    </w:p>
    <w:p>
      <w:pPr>
        <w:pStyle w:val="29"/>
        <w:rPr>
          <w:rFonts w:hint="default"/>
          <w:highlight w:val="yellow"/>
          <w:lang w:val="en-US"/>
        </w:rPr>
      </w:pPr>
      <w:r>
        <w:rPr>
          <w:rFonts w:hint="default"/>
          <w:highlight w:val="yellow"/>
          <w:lang w:val="en-US"/>
        </w:rPr>
        <w:t xml:space="preserve">    0   1001 test $0,%dx</w:t>
      </w:r>
    </w:p>
    <w:p>
      <w:pPr>
        <w:pStyle w:val="29"/>
        <w:rPr>
          <w:rFonts w:hint="default"/>
          <w:highlight w:val="yellow"/>
          <w:lang w:val="en-US"/>
        </w:rPr>
      </w:pPr>
      <w:r>
        <w:rPr>
          <w:rFonts w:hint="default"/>
          <w:highlight w:val="yellow"/>
          <w:lang w:val="en-US"/>
        </w:rPr>
        <w:t xml:space="preserve">    0   1002 jgte .top</w:t>
      </w:r>
    </w:p>
    <w:p>
      <w:pPr>
        <w:pStyle w:val="29"/>
        <w:rPr>
          <w:rFonts w:hint="default"/>
          <w:highlight w:val="yellow"/>
          <w:lang w:val="en-US"/>
        </w:rPr>
      </w:pPr>
      <w:r>
        <w:rPr>
          <w:rFonts w:hint="default"/>
          <w:highlight w:val="yellow"/>
          <w:lang w:val="en-US"/>
        </w:rPr>
        <w:t xml:space="preserve">   -1   1000 sub  $1,%dx</w:t>
      </w:r>
    </w:p>
    <w:p>
      <w:pPr>
        <w:pStyle w:val="29"/>
        <w:rPr>
          <w:rFonts w:hint="default"/>
          <w:highlight w:val="yellow"/>
          <w:lang w:val="en-US"/>
        </w:rPr>
      </w:pPr>
      <w:r>
        <w:rPr>
          <w:rFonts w:hint="default"/>
          <w:highlight w:val="yellow"/>
          <w:lang w:val="en-US"/>
        </w:rPr>
        <w:t xml:space="preserve">   -1   1001 test $0,%dx</w:t>
      </w:r>
    </w:p>
    <w:p>
      <w:pPr>
        <w:pStyle w:val="29"/>
        <w:rPr>
          <w:rFonts w:hint="default"/>
          <w:highlight w:val="yellow"/>
          <w:lang w:val="en-US"/>
        </w:rPr>
      </w:pPr>
      <w:r>
        <w:rPr>
          <w:rFonts w:hint="default"/>
          <w:highlight w:val="yellow"/>
          <w:lang w:val="en-US"/>
        </w:rPr>
        <w:t xml:space="preserve">   -1   1002 jgte .top</w:t>
      </w:r>
    </w:p>
    <w:p>
      <w:pPr>
        <w:pStyle w:val="29"/>
        <w:rPr>
          <w:rFonts w:hint="default"/>
          <w:highlight w:val="yellow"/>
          <w:lang w:val="en-US"/>
        </w:rPr>
      </w:pPr>
      <w:r>
        <w:rPr>
          <w:rFonts w:hint="default"/>
          <w:highlight w:val="yellow"/>
          <w:lang w:val="en-US"/>
        </w:rPr>
        <w:t xml:space="preserve">   -1   1003 halt</w:t>
      </w:r>
    </w:p>
    <w:p>
      <w:pPr>
        <w:pStyle w:val="29"/>
        <w:rPr>
          <w:rFonts w:hint="default"/>
          <w:highlight w:val="yellow"/>
          <w:lang w:val="en-US"/>
        </w:rPr>
      </w:pPr>
      <w:r>
        <w:rPr>
          <w:rFonts w:hint="default"/>
          <w:highlight w:val="yellow"/>
          <w:lang w:val="en-US"/>
        </w:rPr>
        <w:t xml:space="preserve">    3   ----- Halt;Switch -----  ----- Halt;Switch -----</w:t>
      </w:r>
    </w:p>
    <w:p>
      <w:pPr>
        <w:pStyle w:val="29"/>
        <w:rPr>
          <w:rFonts w:hint="default"/>
          <w:highlight w:val="yellow"/>
          <w:lang w:val="en-US"/>
        </w:rPr>
      </w:pPr>
      <w:r>
        <w:rPr>
          <w:rFonts w:hint="default"/>
          <w:highlight w:val="yellow"/>
          <w:lang w:val="en-US"/>
        </w:rPr>
        <w:t xml:space="preserve">    2                      1000 sub  $1,%dx</w:t>
      </w:r>
    </w:p>
    <w:p>
      <w:pPr>
        <w:pStyle w:val="29"/>
        <w:rPr>
          <w:rFonts w:hint="default"/>
          <w:highlight w:val="yellow"/>
          <w:lang w:val="en-US"/>
        </w:rPr>
      </w:pPr>
      <w:r>
        <w:rPr>
          <w:rFonts w:hint="default"/>
          <w:highlight w:val="yellow"/>
          <w:lang w:val="en-US"/>
        </w:rPr>
        <w:t xml:space="preserve">    2                      1001 test $0,%dx</w:t>
      </w:r>
    </w:p>
    <w:p>
      <w:pPr>
        <w:pStyle w:val="29"/>
        <w:rPr>
          <w:rFonts w:hint="default"/>
          <w:highlight w:val="yellow"/>
          <w:lang w:val="en-US"/>
        </w:rPr>
      </w:pPr>
      <w:r>
        <w:rPr>
          <w:rFonts w:hint="default"/>
          <w:highlight w:val="yellow"/>
          <w:lang w:val="en-US"/>
        </w:rPr>
        <w:t xml:space="preserve">    2                      1002 jgte .top</w:t>
      </w:r>
    </w:p>
    <w:p>
      <w:pPr>
        <w:pStyle w:val="29"/>
        <w:rPr>
          <w:rFonts w:hint="default"/>
          <w:highlight w:val="yellow"/>
          <w:lang w:val="en-US"/>
        </w:rPr>
      </w:pPr>
      <w:r>
        <w:rPr>
          <w:rFonts w:hint="default"/>
          <w:highlight w:val="yellow"/>
          <w:lang w:val="en-US"/>
        </w:rPr>
        <w:t xml:space="preserve">    1                      1000 sub  $1,%dx</w:t>
      </w:r>
    </w:p>
    <w:p>
      <w:pPr>
        <w:pStyle w:val="29"/>
        <w:rPr>
          <w:rFonts w:hint="default"/>
          <w:highlight w:val="yellow"/>
          <w:lang w:val="en-US"/>
        </w:rPr>
      </w:pPr>
      <w:r>
        <w:rPr>
          <w:rFonts w:hint="default"/>
          <w:highlight w:val="yellow"/>
          <w:lang w:val="en-US"/>
        </w:rPr>
        <w:t xml:space="preserve">    1                      1001 test $0,%dx</w:t>
      </w:r>
    </w:p>
    <w:p>
      <w:pPr>
        <w:pStyle w:val="29"/>
        <w:rPr>
          <w:rFonts w:hint="default"/>
          <w:highlight w:val="yellow"/>
          <w:lang w:val="en-US"/>
        </w:rPr>
      </w:pPr>
      <w:r>
        <w:rPr>
          <w:rFonts w:hint="default"/>
          <w:highlight w:val="yellow"/>
          <w:lang w:val="en-US"/>
        </w:rPr>
        <w:t xml:space="preserve">    1                      1002 jgte .top</w:t>
      </w:r>
    </w:p>
    <w:p>
      <w:pPr>
        <w:pStyle w:val="29"/>
        <w:rPr>
          <w:rFonts w:hint="default"/>
          <w:highlight w:val="yellow"/>
          <w:lang w:val="en-US"/>
        </w:rPr>
      </w:pPr>
      <w:r>
        <w:rPr>
          <w:rFonts w:hint="default"/>
          <w:highlight w:val="yellow"/>
          <w:lang w:val="en-US"/>
        </w:rPr>
        <w:t xml:space="preserve">    0                      1000 sub  $1,%dx</w:t>
      </w:r>
    </w:p>
    <w:p>
      <w:pPr>
        <w:pStyle w:val="29"/>
        <w:rPr>
          <w:rFonts w:hint="default"/>
          <w:highlight w:val="yellow"/>
          <w:lang w:val="en-US"/>
        </w:rPr>
      </w:pPr>
      <w:r>
        <w:rPr>
          <w:rFonts w:hint="default"/>
          <w:highlight w:val="yellow"/>
          <w:lang w:val="en-US"/>
        </w:rPr>
        <w:t xml:space="preserve">    0                      1001 test $0,%dx</w:t>
      </w:r>
    </w:p>
    <w:p>
      <w:pPr>
        <w:pStyle w:val="29"/>
        <w:rPr>
          <w:rFonts w:hint="default"/>
          <w:highlight w:val="yellow"/>
          <w:lang w:val="en-US"/>
        </w:rPr>
      </w:pPr>
      <w:r>
        <w:rPr>
          <w:rFonts w:hint="default"/>
          <w:highlight w:val="yellow"/>
          <w:lang w:val="en-US"/>
        </w:rPr>
        <w:t xml:space="preserve">    0                      1002 jgte .top</w:t>
      </w:r>
    </w:p>
    <w:p>
      <w:pPr>
        <w:pStyle w:val="29"/>
        <w:rPr>
          <w:rFonts w:hint="default"/>
          <w:highlight w:val="yellow"/>
          <w:lang w:val="en-US"/>
        </w:rPr>
      </w:pPr>
      <w:r>
        <w:rPr>
          <w:rFonts w:hint="default"/>
          <w:highlight w:val="yellow"/>
          <w:lang w:val="en-US"/>
        </w:rPr>
        <w:t xml:space="preserve">   -1                      1000 sub  $1,%dx</w:t>
      </w:r>
    </w:p>
    <w:p>
      <w:pPr>
        <w:pStyle w:val="29"/>
        <w:rPr>
          <w:rFonts w:hint="default"/>
          <w:highlight w:val="yellow"/>
          <w:lang w:val="en-US"/>
        </w:rPr>
      </w:pPr>
      <w:r>
        <w:rPr>
          <w:rFonts w:hint="default"/>
          <w:highlight w:val="yellow"/>
          <w:lang w:val="en-US"/>
        </w:rPr>
        <w:t xml:space="preserve">   -1                      1001 test $0,%dx</w:t>
      </w:r>
    </w:p>
    <w:p>
      <w:pPr>
        <w:pStyle w:val="29"/>
        <w:rPr>
          <w:rFonts w:hint="default"/>
          <w:highlight w:val="yellow"/>
          <w:lang w:val="en-US"/>
        </w:rPr>
      </w:pPr>
      <w:r>
        <w:rPr>
          <w:rFonts w:hint="default"/>
          <w:highlight w:val="yellow"/>
          <w:lang w:val="en-US"/>
        </w:rPr>
        <w:t xml:space="preserve">   -1                      1002 jgte .top</w:t>
      </w:r>
    </w:p>
    <w:p>
      <w:pPr>
        <w:pStyle w:val="29"/>
        <w:rPr>
          <w:rFonts w:hint="default"/>
          <w:highlight w:val="yellow"/>
          <w:lang w:val="en-US"/>
        </w:rPr>
      </w:pPr>
      <w:r>
        <w:rPr>
          <w:rFonts w:hint="default"/>
          <w:highlight w:val="yellow"/>
          <w:lang w:val="en-US"/>
        </w:rPr>
        <w:t xml:space="preserve">   -1                      1003 halt</w:t>
      </w:r>
    </w:p>
    <w:p>
      <w:pPr>
        <w:pStyle w:val="29"/>
        <w:rPr>
          <w:rFonts w:hint="default"/>
          <w:highlight w:val="yellow"/>
          <w:lang w:val="en-US"/>
        </w:rPr>
      </w:pPr>
      <w:r>
        <w:rPr>
          <w:rFonts w:hint="default"/>
          <w:highlight w:val="yellow"/>
          <w:lang w:val="en-US"/>
        </w:rPr>
        <w:t>The presence of multiple threads does not effect our calculation because there’s no race between the two threads as the interruption frequency is set to 100 which is sufficient for the thread to finish before context switching. The outputs of dx is exactly the same for the two threads because they are both initially set to 3 in the beginning.</w:t>
      </w:r>
    </w:p>
    <w:p>
      <w:pPr>
        <w:pStyle w:val="29"/>
      </w:pPr>
    </w:p>
    <w:p>
      <w:pPr>
        <w:pStyle w:val="29"/>
      </w:pPr>
    </w:p>
    <w:p>
      <w:pPr>
        <w:pStyle w:val="29"/>
      </w:pPr>
    </w:p>
    <w:p>
      <w:pPr>
        <w:pStyle w:val="29"/>
        <w:jc w:val="both"/>
      </w:pPr>
      <w:r>
        <w:rPr>
          <w:b/>
          <w:bCs/>
        </w:rPr>
        <w:t>Question 3</w:t>
      </w:r>
      <w:r>
        <w:t xml:space="preserve">: Now, a different program, </w:t>
      </w:r>
      <w:r>
        <w:rPr>
          <w:rFonts w:ascii="Consolas" w:hAnsi="Consolas"/>
        </w:rPr>
        <w:t>looping-race-nolock.s</w:t>
      </w:r>
      <w:r>
        <w:t xml:space="preserve">, which accesses a shared variable located at address 2000; we’ll call this variable </w:t>
      </w:r>
      <w:r>
        <w:rPr>
          <w:rFonts w:ascii="Consolas" w:hAnsi="Consolas"/>
        </w:rPr>
        <w:t>value</w:t>
      </w:r>
      <w:r>
        <w:t xml:space="preserve">. Run it with a single thread to confirm your understanding: </w:t>
      </w:r>
      <w:r>
        <w:rPr>
          <w:rFonts w:ascii="Consolas" w:hAnsi="Consolas"/>
        </w:rPr>
        <w:t>./x86.py -p looping-race-nolock.s -t 1 -M 2000</w:t>
      </w:r>
      <w:r>
        <w:t xml:space="preserve">. What is value (i.e., at memory address 2000) throughout the run? Use </w:t>
      </w:r>
      <w:r>
        <w:rPr>
          <w:rFonts w:ascii="Consolas" w:hAnsi="Consolas"/>
        </w:rPr>
        <w:t>-c</w:t>
      </w:r>
      <w:r>
        <w:t xml:space="preserve"> to check.</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The output is as follows:</w:t>
      </w:r>
    </w:p>
    <w:p>
      <w:pPr>
        <w:pStyle w:val="29"/>
        <w:rPr>
          <w:rFonts w:hint="default"/>
          <w:highlight w:val="yellow"/>
          <w:lang w:val="en-US"/>
        </w:rPr>
      </w:pPr>
      <w:r>
        <w:rPr>
          <w:rFonts w:hint="default"/>
          <w:highlight w:val="yellow"/>
          <w:lang w:val="en-US"/>
        </w:rPr>
        <w:t xml:space="preserve"> 2000   Thread 0</w:t>
      </w:r>
    </w:p>
    <w:p>
      <w:pPr>
        <w:pStyle w:val="29"/>
        <w:rPr>
          <w:rFonts w:hint="default"/>
          <w:highlight w:val="yellow"/>
          <w:lang w:val="en-US"/>
        </w:rPr>
      </w:pPr>
      <w:r>
        <w:rPr>
          <w:rFonts w:hint="default"/>
          <w:highlight w:val="yellow"/>
          <w:lang w:val="en-US"/>
        </w:rPr>
        <w:t xml:space="preserve">    0</w:t>
      </w:r>
    </w:p>
    <w:p>
      <w:pPr>
        <w:pStyle w:val="29"/>
        <w:rPr>
          <w:rFonts w:hint="default"/>
          <w:highlight w:val="yellow"/>
          <w:lang w:val="en-US"/>
        </w:rPr>
      </w:pPr>
      <w:r>
        <w:rPr>
          <w:rFonts w:hint="default"/>
          <w:highlight w:val="yellow"/>
          <w:lang w:val="en-US"/>
        </w:rPr>
        <w:t xml:space="preserve">    0   1000 mov 2000, %ax</w:t>
      </w:r>
    </w:p>
    <w:p>
      <w:pPr>
        <w:pStyle w:val="29"/>
        <w:rPr>
          <w:rFonts w:hint="default"/>
          <w:highlight w:val="yellow"/>
          <w:lang w:val="en-US"/>
        </w:rPr>
      </w:pPr>
      <w:r>
        <w:rPr>
          <w:rFonts w:hint="default"/>
          <w:highlight w:val="yellow"/>
          <w:lang w:val="en-US"/>
        </w:rPr>
        <w:t xml:space="preserve">    0   1001 add $1, %ax</w:t>
      </w:r>
    </w:p>
    <w:p>
      <w:pPr>
        <w:pStyle w:val="29"/>
        <w:rPr>
          <w:rFonts w:hint="default"/>
          <w:highlight w:val="yellow"/>
          <w:lang w:val="en-US"/>
        </w:rPr>
      </w:pPr>
      <w:r>
        <w:rPr>
          <w:rFonts w:hint="default"/>
          <w:highlight w:val="yellow"/>
          <w:lang w:val="en-US"/>
        </w:rPr>
        <w:t xml:space="preserve">    1   1002 mov %ax, 2000</w:t>
      </w:r>
    </w:p>
    <w:p>
      <w:pPr>
        <w:pStyle w:val="29"/>
        <w:rPr>
          <w:rFonts w:hint="default"/>
          <w:highlight w:val="yellow"/>
          <w:lang w:val="en-US"/>
        </w:rPr>
      </w:pPr>
      <w:r>
        <w:rPr>
          <w:rFonts w:hint="default"/>
          <w:highlight w:val="yellow"/>
          <w:lang w:val="en-US"/>
        </w:rPr>
        <w:t xml:space="preserve">    1   1003 sub $1, %bx</w:t>
      </w:r>
    </w:p>
    <w:p>
      <w:pPr>
        <w:pStyle w:val="29"/>
        <w:rPr>
          <w:rFonts w:hint="default"/>
          <w:highlight w:val="yellow"/>
          <w:lang w:val="en-US"/>
        </w:rPr>
      </w:pPr>
      <w:r>
        <w:rPr>
          <w:rFonts w:hint="default"/>
          <w:highlight w:val="yellow"/>
          <w:lang w:val="en-US"/>
        </w:rPr>
        <w:t xml:space="preserve">    1   1004 test $0, %bx</w:t>
      </w:r>
    </w:p>
    <w:p>
      <w:pPr>
        <w:pStyle w:val="29"/>
        <w:rPr>
          <w:rFonts w:hint="default"/>
          <w:highlight w:val="yellow"/>
          <w:lang w:val="en-US"/>
        </w:rPr>
      </w:pPr>
      <w:r>
        <w:rPr>
          <w:rFonts w:hint="default"/>
          <w:highlight w:val="yellow"/>
          <w:lang w:val="en-US"/>
        </w:rPr>
        <w:t xml:space="preserve">    1   1005 jgt .top</w:t>
      </w:r>
    </w:p>
    <w:p>
      <w:pPr>
        <w:pStyle w:val="29"/>
        <w:rPr>
          <w:rFonts w:hint="default"/>
          <w:highlight w:val="yellow"/>
          <w:lang w:val="en-US"/>
        </w:rPr>
      </w:pPr>
      <w:r>
        <w:rPr>
          <w:rFonts w:hint="default"/>
          <w:highlight w:val="yellow"/>
          <w:lang w:val="en-US"/>
        </w:rPr>
        <w:t xml:space="preserve">    1   1006 halt</w:t>
      </w:r>
    </w:p>
    <w:p>
      <w:pPr>
        <w:pStyle w:val="29"/>
        <w:rPr>
          <w:rFonts w:hint="default"/>
          <w:highlight w:val="yellow"/>
          <w:lang w:val="en-US"/>
        </w:rPr>
      </w:pPr>
      <w:r>
        <w:rPr>
          <w:rFonts w:hint="default"/>
          <w:highlight w:val="yellow"/>
          <w:lang w:val="en-US"/>
        </w:rPr>
        <w:t>After the addition, register ax has the value of 1, which is then moved to the memory location of 2000. Because register bx is not set in the beginning, then it’s the default value of 0. After subtracting the value will be -1 which is already smaller than 0 so there would not be any extra loops for memory 2000 to increase its value. Therefore, memory 2000 will have the value of 1 throughout the instructions after moving ax into it.</w:t>
      </w:r>
    </w:p>
    <w:p>
      <w:pPr>
        <w:pStyle w:val="29"/>
      </w:pPr>
    </w:p>
    <w:p>
      <w:pPr>
        <w:pStyle w:val="29"/>
        <w:jc w:val="both"/>
      </w:pPr>
      <w:r>
        <w:rPr>
          <w:b/>
          <w:bCs/>
        </w:rPr>
        <w:t>Question 4</w:t>
      </w:r>
      <w:r>
        <w:t xml:space="preserve">: Run with random interrupt intervals: </w:t>
      </w:r>
      <w:r>
        <w:rPr>
          <w:rFonts w:ascii="Consolas" w:hAnsi="Consolas"/>
        </w:rPr>
        <w:t>./x86.py -p looping-race-nolock.s -t 2 -M 2000 -i 4 -r -s 0</w:t>
      </w:r>
      <w:r>
        <w:t xml:space="preserve"> with different seeds </w:t>
      </w:r>
      <w:r>
        <w:rPr>
          <w:rFonts w:ascii="Consolas" w:hAnsi="Consolas"/>
        </w:rPr>
        <w:t>(-s 1</w:t>
      </w:r>
      <w:r>
        <w:t xml:space="preserve">, </w:t>
      </w:r>
      <w:r>
        <w:rPr>
          <w:rFonts w:ascii="Consolas" w:hAnsi="Consolas"/>
        </w:rPr>
        <w:t>-s 2</w:t>
      </w:r>
      <w:r>
        <w:t xml:space="preserve">, etc.) Can you tell by looking at the thread interleaving what the final value of </w:t>
      </w:r>
      <w:r>
        <w:rPr>
          <w:rFonts w:ascii="Consolas" w:hAnsi="Consolas"/>
        </w:rPr>
        <w:t>value</w:t>
      </w:r>
      <w:r>
        <w:t xml:space="preserve"> will be? Does the timing of the interrupt matter? Where can it safely occur? Where not? In other words, where is the critical section exactly?</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The final value is determined by the timing of the interleaving of thread. If register ax’s value is changed by the next time of addition, then memory 2000’s final value would be 2 (seed 0 and 2), otherwise it’s 1 (seed 1). The timing of interrupt matters. If the interrupt occurs at the critical section, the output may be wrong.</w:t>
      </w:r>
    </w:p>
    <w:p>
      <w:pPr>
        <w:pStyle w:val="29"/>
        <w:rPr>
          <w:rFonts w:hint="default"/>
          <w:highlight w:val="yellow"/>
          <w:lang w:val="en-US"/>
        </w:rPr>
      </w:pPr>
      <w:r>
        <w:rPr>
          <w:rFonts w:hint="default"/>
          <w:highlight w:val="yellow"/>
          <w:lang w:val="en-US"/>
        </w:rPr>
        <w:t>Critical Section:</w:t>
      </w:r>
    </w:p>
    <w:p>
      <w:pPr>
        <w:pStyle w:val="29"/>
        <w:rPr>
          <w:rFonts w:hint="default"/>
          <w:highlight w:val="yellow"/>
          <w:lang w:val="en-US"/>
        </w:rPr>
      </w:pPr>
      <w:r>
        <w:rPr>
          <w:rFonts w:hint="default"/>
          <w:highlight w:val="yellow"/>
          <w:lang w:val="en-US"/>
        </w:rPr>
        <w:t># critical section</w:t>
      </w:r>
    </w:p>
    <w:p>
      <w:pPr>
        <w:pStyle w:val="29"/>
        <w:rPr>
          <w:rFonts w:hint="default"/>
          <w:highlight w:val="yellow"/>
          <w:lang w:val="en-US"/>
        </w:rPr>
      </w:pPr>
      <w:r>
        <w:rPr>
          <w:rFonts w:hint="default"/>
          <w:highlight w:val="yellow"/>
          <w:lang w:val="en-US"/>
        </w:rPr>
        <w:t>mov 2000, %ax  # get 'value' at address 2000</w:t>
      </w:r>
    </w:p>
    <w:p>
      <w:pPr>
        <w:pStyle w:val="29"/>
        <w:rPr>
          <w:rFonts w:hint="default"/>
          <w:highlight w:val="yellow"/>
          <w:lang w:val="en-US"/>
        </w:rPr>
      </w:pPr>
      <w:r>
        <w:rPr>
          <w:rFonts w:hint="default"/>
          <w:highlight w:val="yellow"/>
          <w:lang w:val="en-US"/>
        </w:rPr>
        <w:t>add $1, %ax    # increment it</w:t>
      </w:r>
    </w:p>
    <w:p>
      <w:pPr>
        <w:pStyle w:val="29"/>
        <w:rPr>
          <w:rFonts w:hint="default"/>
          <w:highlight w:val="yellow"/>
          <w:lang w:val="en-US"/>
        </w:rPr>
      </w:pPr>
      <w:r>
        <w:rPr>
          <w:rFonts w:hint="default"/>
          <w:highlight w:val="yellow"/>
          <w:lang w:val="en-US"/>
        </w:rPr>
        <w:t>mov %ax, 2000  # store it back</w:t>
      </w:r>
    </w:p>
    <w:p>
      <w:pPr>
        <w:pStyle w:val="29"/>
        <w:rPr>
          <w:rFonts w:hint="default"/>
          <w:highlight w:val="yellow"/>
          <w:lang w:val="en-US"/>
        </w:rPr>
      </w:pPr>
    </w:p>
    <w:p>
      <w:pPr>
        <w:pStyle w:val="29"/>
        <w:jc w:val="both"/>
      </w:pPr>
      <w:r>
        <w:rPr>
          <w:b/>
          <w:bCs/>
        </w:rPr>
        <w:t>Question 5</w:t>
      </w:r>
      <w:r>
        <w:t xml:space="preserve">: Now examine fixed interrupt intervals: </w:t>
      </w:r>
      <w:r>
        <w:rPr>
          <w:rFonts w:ascii="Consolas" w:hAnsi="Consolas"/>
        </w:rPr>
        <w:t>./x86.py -p looping-race-nolock.s -a bx=1 -t 2 -M 2000 -i 1</w:t>
      </w:r>
      <w:r>
        <w:t xml:space="preserve">. What will the final value of the shared variable </w:t>
      </w:r>
      <w:r>
        <w:rPr>
          <w:rFonts w:ascii="Consolas" w:hAnsi="Consolas"/>
        </w:rPr>
        <w:t>value</w:t>
      </w:r>
      <w:r>
        <w:t xml:space="preserve"> be? What about when you change </w:t>
      </w:r>
      <w:r>
        <w:rPr>
          <w:rFonts w:ascii="Consolas" w:hAnsi="Consolas"/>
        </w:rPr>
        <w:t>-i 2</w:t>
      </w:r>
      <w:r>
        <w:t xml:space="preserve">, </w:t>
      </w:r>
      <w:r>
        <w:rPr>
          <w:rFonts w:ascii="Consolas" w:hAnsi="Consolas"/>
        </w:rPr>
        <w:t>-i 3</w:t>
      </w:r>
      <w:r>
        <w:t>, etc.? For which interrupt intervals does the program give the “correct” answer?</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The critical section has the length of three instructions. So when the interruption frequency is less than 3, i.e. when i = 1 or 2, the value is 1, which is the wrong output. When the interrupt is 3, i.e. when i=3, the program give the “correct” answer of 2</w:t>
      </w:r>
    </w:p>
    <w:p>
      <w:pPr>
        <w:pStyle w:val="29"/>
        <w:rPr>
          <w:rFonts w:hint="default"/>
          <w:b/>
          <w:bCs/>
          <w:lang w:val="en-US"/>
        </w:rPr>
      </w:pPr>
    </w:p>
    <w:p>
      <w:pPr>
        <w:pStyle w:val="29"/>
        <w:rPr>
          <w:b/>
          <w:bCs/>
        </w:rPr>
      </w:pPr>
    </w:p>
    <w:p>
      <w:pPr>
        <w:pStyle w:val="29"/>
        <w:rPr>
          <w:b/>
          <w:bCs/>
        </w:rPr>
      </w:pPr>
    </w:p>
    <w:p>
      <w:pPr>
        <w:pStyle w:val="29"/>
        <w:rPr>
          <w:b/>
          <w:bCs/>
        </w:rPr>
      </w:pPr>
    </w:p>
    <w:p>
      <w:pPr>
        <w:pStyle w:val="29"/>
        <w:rPr>
          <w:b/>
          <w:bCs/>
        </w:rPr>
      </w:pPr>
    </w:p>
    <w:p>
      <w:pPr>
        <w:pStyle w:val="29"/>
      </w:pPr>
    </w:p>
    <w:p>
      <w:pPr>
        <w:pStyle w:val="29"/>
        <w:jc w:val="both"/>
      </w:pPr>
      <w:r>
        <w:rPr>
          <w:b/>
          <w:bCs/>
        </w:rPr>
        <w:t>Question 6</w:t>
      </w:r>
      <w:r>
        <w:t xml:space="preserve">: Run the same for more loops (e.g., set </w:t>
      </w:r>
      <w:r>
        <w:rPr>
          <w:rFonts w:ascii="Consolas" w:hAnsi="Consolas"/>
        </w:rPr>
        <w:t>-a bx=100</w:t>
      </w:r>
      <w:r>
        <w:t>). What interrupt intervals (</w:t>
      </w:r>
      <w:r>
        <w:rPr>
          <w:rFonts w:ascii="Consolas" w:hAnsi="Consolas"/>
        </w:rPr>
        <w:t>-i</w:t>
      </w:r>
      <w:r>
        <w:t>) lead to a correct outcome? Which intervals are surprising (unexpected)?</w:t>
      </w:r>
    </w:p>
    <w:p>
      <w:pPr>
        <w:pStyle w:val="29"/>
        <w:rPr>
          <w:b/>
          <w:bCs/>
        </w:rPr>
      </w:pPr>
      <w:r>
        <w:rPr>
          <w:b/>
          <w:bCs/>
        </w:rPr>
        <w:t xml:space="preserve">Answer: </w:t>
      </w:r>
    </w:p>
    <w:p>
      <w:pPr>
        <w:pStyle w:val="29"/>
        <w:rPr>
          <w:rFonts w:hint="default"/>
          <w:b/>
          <w:bCs/>
          <w:lang w:val="en-US"/>
        </w:rPr>
      </w:pPr>
      <w:r>
        <w:rPr>
          <w:rFonts w:hint="default"/>
          <w:highlight w:val="yellow"/>
          <w:lang w:val="en-US"/>
        </w:rPr>
        <w:t>When the interrupt interval is a multiple of 3(the length of instructions of the critical section), or other values that avoid the interruption in the critical section, the outcome is correct. The other intervals are surprising (i = 1,2,4,5...</w:t>
      </w:r>
      <w:bookmarkStart w:id="0" w:name="_GoBack"/>
      <w:bookmarkEnd w:id="0"/>
      <w:r>
        <w:rPr>
          <w:rFonts w:hint="default"/>
          <w:highlight w:val="yellow"/>
          <w:lang w:val="en-US"/>
        </w:rPr>
        <w:t>)</w:t>
      </w:r>
    </w:p>
    <w:p>
      <w:pPr>
        <w:rPr>
          <w:rFonts w:eastAsia="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023"/>
        <w:tab w:val="clear" w:pos="4153"/>
        <w:tab w:val="clear" w:pos="8306"/>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blPrEx>
        <w:tblCellMar>
          <w:top w:w="0" w:type="dxa"/>
          <w:left w:w="108" w:type="dxa"/>
          <w:bottom w:w="0" w:type="dxa"/>
          <w:right w:w="108" w:type="dxa"/>
        </w:tblCellMar>
      </w:tblPrEx>
      <w:trPr>
        <w:trHeight w:val="170" w:hRule="atLeast"/>
      </w:trPr>
      <w:tc>
        <w:tcPr>
          <w:tcW w:w="1701" w:type="dxa"/>
          <w:vMerge w:val="restart"/>
          <w:shd w:val="clear" w:color="auto" w:fill="BF165E"/>
          <w:vAlign w:val="center"/>
        </w:tcPr>
        <w:p>
          <w:pPr>
            <w:pStyle w:val="8"/>
            <w:jc w:val="center"/>
            <w:rPr>
              <w:b/>
              <w:color w:val="FFFFFF"/>
              <w:sz w:val="28"/>
              <w:szCs w:val="28"/>
            </w:rPr>
          </w:pPr>
          <w:r>
            <w:rPr>
              <w:b/>
              <w:color w:val="FFFFFF"/>
              <w:sz w:val="28"/>
              <w:szCs w:val="28"/>
            </w:rPr>
            <w:t>Tutorial 3</w:t>
          </w:r>
        </w:p>
        <w:p>
          <w:pPr>
            <w:pStyle w:val="8"/>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rFonts w:hint="default"/>
              <w:szCs w:val="28"/>
              <w:lang w:val="en-US" w:eastAsia="zh-HK"/>
            </w:rPr>
          </w:pPr>
          <w:r>
            <w:rPr>
              <w:rFonts w:hint="default"/>
              <w:szCs w:val="28"/>
              <w:lang w:val="en-US" w:eastAsia="zh-HK"/>
            </w:rPr>
            <w:t>LIU Hengche</w:t>
          </w: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8"/>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F34C6"/>
    <w:multiLevelType w:val="multilevel"/>
    <w:tmpl w:val="616F34C6"/>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8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NDVlNjQ0YTVhMDZmOWY5ZTZhYmFiZDI5ZGRhZjUifQ=="/>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94C9D"/>
    <w:rsid w:val="001A138B"/>
    <w:rsid w:val="001B1184"/>
    <w:rsid w:val="001B1F17"/>
    <w:rsid w:val="001B3E5D"/>
    <w:rsid w:val="001B5595"/>
    <w:rsid w:val="001B7D26"/>
    <w:rsid w:val="001C145F"/>
    <w:rsid w:val="001C1C8C"/>
    <w:rsid w:val="001C4260"/>
    <w:rsid w:val="001D0062"/>
    <w:rsid w:val="001D08B9"/>
    <w:rsid w:val="001D118C"/>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745E6"/>
    <w:rsid w:val="00280F27"/>
    <w:rsid w:val="00283D03"/>
    <w:rsid w:val="002865E9"/>
    <w:rsid w:val="00286EB3"/>
    <w:rsid w:val="00293488"/>
    <w:rsid w:val="00295CE5"/>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3AE"/>
    <w:rsid w:val="003E551C"/>
    <w:rsid w:val="003E5975"/>
    <w:rsid w:val="003E5C04"/>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36BEC"/>
    <w:rsid w:val="00437C7B"/>
    <w:rsid w:val="004402C1"/>
    <w:rsid w:val="004424A4"/>
    <w:rsid w:val="00443D52"/>
    <w:rsid w:val="004451BF"/>
    <w:rsid w:val="00446CC9"/>
    <w:rsid w:val="0045002C"/>
    <w:rsid w:val="004516E4"/>
    <w:rsid w:val="0045284E"/>
    <w:rsid w:val="004533A8"/>
    <w:rsid w:val="00453D57"/>
    <w:rsid w:val="0045422E"/>
    <w:rsid w:val="00454BFC"/>
    <w:rsid w:val="00455AC6"/>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007C"/>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C6579"/>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40E04"/>
    <w:rsid w:val="0064311C"/>
    <w:rsid w:val="00653DBD"/>
    <w:rsid w:val="00654373"/>
    <w:rsid w:val="00655218"/>
    <w:rsid w:val="0065543C"/>
    <w:rsid w:val="0065628A"/>
    <w:rsid w:val="00656672"/>
    <w:rsid w:val="00666E43"/>
    <w:rsid w:val="0067060A"/>
    <w:rsid w:val="006723AD"/>
    <w:rsid w:val="00673AE3"/>
    <w:rsid w:val="006825A8"/>
    <w:rsid w:val="006861FF"/>
    <w:rsid w:val="00690724"/>
    <w:rsid w:val="00691A5B"/>
    <w:rsid w:val="006A1CA5"/>
    <w:rsid w:val="006A2E46"/>
    <w:rsid w:val="006A36AD"/>
    <w:rsid w:val="006A5DBB"/>
    <w:rsid w:val="006B02EE"/>
    <w:rsid w:val="006B4CAC"/>
    <w:rsid w:val="006B6E03"/>
    <w:rsid w:val="006B7F65"/>
    <w:rsid w:val="006C37F0"/>
    <w:rsid w:val="006C40EA"/>
    <w:rsid w:val="006C781C"/>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C31A8"/>
    <w:rsid w:val="009C476B"/>
    <w:rsid w:val="009C569B"/>
    <w:rsid w:val="009C7881"/>
    <w:rsid w:val="009D41C3"/>
    <w:rsid w:val="009D7E6E"/>
    <w:rsid w:val="009E0668"/>
    <w:rsid w:val="009E124A"/>
    <w:rsid w:val="009E2B4C"/>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7A7"/>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37FA"/>
    <w:rsid w:val="00B773C5"/>
    <w:rsid w:val="00B800F5"/>
    <w:rsid w:val="00B8040A"/>
    <w:rsid w:val="00B8097A"/>
    <w:rsid w:val="00B82A40"/>
    <w:rsid w:val="00B8320B"/>
    <w:rsid w:val="00B84387"/>
    <w:rsid w:val="00B8671D"/>
    <w:rsid w:val="00B87814"/>
    <w:rsid w:val="00B941A2"/>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D4CED"/>
    <w:rsid w:val="00BE57D0"/>
    <w:rsid w:val="00BE6883"/>
    <w:rsid w:val="00BE6B47"/>
    <w:rsid w:val="00BF06D5"/>
    <w:rsid w:val="00BF0B74"/>
    <w:rsid w:val="00BF515B"/>
    <w:rsid w:val="00BF6284"/>
    <w:rsid w:val="00BF703F"/>
    <w:rsid w:val="00C01ACF"/>
    <w:rsid w:val="00C0213D"/>
    <w:rsid w:val="00C03CF2"/>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959"/>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E027A2"/>
    <w:rsid w:val="00E02F56"/>
    <w:rsid w:val="00E03743"/>
    <w:rsid w:val="00E05C29"/>
    <w:rsid w:val="00E126C1"/>
    <w:rsid w:val="00E12B39"/>
    <w:rsid w:val="00E14C1B"/>
    <w:rsid w:val="00E14D49"/>
    <w:rsid w:val="00E16DAB"/>
    <w:rsid w:val="00E218CC"/>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19D91208"/>
    <w:rsid w:val="1B2B019A"/>
    <w:rsid w:val="22933AEC"/>
    <w:rsid w:val="27550CD5"/>
    <w:rsid w:val="2B2E724E"/>
    <w:rsid w:val="2D917516"/>
    <w:rsid w:val="2E9F3EB4"/>
    <w:rsid w:val="3C862210"/>
    <w:rsid w:val="4A796B21"/>
    <w:rsid w:val="50A31978"/>
    <w:rsid w:val="5E221E17"/>
    <w:rsid w:val="693E53E3"/>
    <w:rsid w:val="69910C51"/>
    <w:rsid w:val="73CD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1"/>
    <w:qFormat/>
    <w:uiPriority w:val="0"/>
    <w:pPr>
      <w:keepNext/>
      <w:tabs>
        <w:tab w:val="left" w:pos="540"/>
      </w:tabs>
      <w:jc w:val="both"/>
      <w:outlineLvl w:val="0"/>
    </w:pPr>
    <w:rPr>
      <w:b/>
      <w:bCs/>
    </w:rPr>
  </w:style>
  <w:style w:type="paragraph" w:styleId="3">
    <w:name w:val="heading 3"/>
    <w:basedOn w:val="1"/>
    <w:next w:val="1"/>
    <w:link w:val="22"/>
    <w:qFormat/>
    <w:uiPriority w:val="0"/>
    <w:pPr>
      <w:keepNext/>
      <w:outlineLvl w:val="2"/>
    </w:pPr>
    <w:rPr>
      <w:b/>
      <w:szCs w:val="20"/>
      <w:u w:val="single"/>
    </w:rPr>
  </w:style>
  <w:style w:type="paragraph" w:styleId="4">
    <w:name w:val="heading 4"/>
    <w:basedOn w:val="1"/>
    <w:next w:val="1"/>
    <w:link w:val="23"/>
    <w:qFormat/>
    <w:uiPriority w:val="0"/>
    <w:pPr>
      <w:keepNext/>
      <w:spacing w:before="240" w:after="60"/>
      <w:outlineLvl w:val="3"/>
    </w:pPr>
    <w:rPr>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ody Text"/>
    <w:basedOn w:val="1"/>
    <w:link w:val="25"/>
    <w:semiHidden/>
    <w:uiPriority w:val="0"/>
    <w:pPr>
      <w:spacing w:after="120"/>
    </w:pPr>
  </w:style>
  <w:style w:type="paragraph" w:styleId="6">
    <w:name w:val="Body Text Indent"/>
    <w:basedOn w:val="1"/>
    <w:link w:val="24"/>
    <w:semiHidden/>
    <w:uiPriority w:val="0"/>
    <w:pPr>
      <w:tabs>
        <w:tab w:val="left" w:pos="720"/>
      </w:tabs>
      <w:ind w:left="720" w:hanging="720"/>
    </w:pPr>
  </w:style>
  <w:style w:type="paragraph" w:styleId="7">
    <w:name w:val="Balloon Text"/>
    <w:basedOn w:val="1"/>
    <w:link w:val="20"/>
    <w:semiHidden/>
    <w:unhideWhenUsed/>
    <w:uiPriority w:val="99"/>
    <w:rPr>
      <w:rFonts w:ascii="Cambria" w:hAnsi="Cambria"/>
      <w:sz w:val="16"/>
      <w:szCs w:val="16"/>
    </w:rPr>
  </w:style>
  <w:style w:type="paragraph" w:styleId="8">
    <w:name w:val="footer"/>
    <w:basedOn w:val="1"/>
    <w:link w:val="19"/>
    <w:unhideWhenUsed/>
    <w:uiPriority w:val="99"/>
    <w:pPr>
      <w:tabs>
        <w:tab w:val="center" w:pos="4153"/>
        <w:tab w:val="right" w:pos="8306"/>
      </w:tabs>
      <w:snapToGrid w:val="0"/>
    </w:pPr>
    <w:rPr>
      <w:sz w:val="20"/>
      <w:szCs w:val="20"/>
    </w:rPr>
  </w:style>
  <w:style w:type="paragraph" w:styleId="9">
    <w:name w:val="header"/>
    <w:basedOn w:val="1"/>
    <w:link w:val="18"/>
    <w:unhideWhenUsed/>
    <w:uiPriority w:val="99"/>
    <w:pPr>
      <w:tabs>
        <w:tab w:val="center" w:pos="4153"/>
        <w:tab w:val="right" w:pos="8306"/>
      </w:tabs>
      <w:snapToGrid w:val="0"/>
    </w:pPr>
    <w:rPr>
      <w:sz w:val="20"/>
      <w:szCs w:val="20"/>
    </w:rPr>
  </w:style>
  <w:style w:type="paragraph" w:styleId="10">
    <w:name w:val="footnote text"/>
    <w:basedOn w:val="1"/>
    <w:link w:val="26"/>
    <w:semiHidden/>
    <w:unhideWhenUsed/>
    <w:uiPriority w:val="99"/>
    <w:rPr>
      <w:sz w:val="20"/>
      <w:szCs w:val="20"/>
    </w:rPr>
  </w:style>
  <w:style w:type="paragraph" w:styleId="11">
    <w:name w:val="Normal (Web)"/>
    <w:basedOn w:val="1"/>
    <w:semiHidden/>
    <w:unhideWhenUsed/>
    <w:uiPriority w:val="99"/>
    <w:pPr>
      <w:spacing w:before="100" w:beforeAutospacing="1" w:after="100" w:afterAutospacing="1"/>
    </w:pPr>
    <w:rPr>
      <w:rFonts w:eastAsia="Times New Roman"/>
      <w:lang w:eastAsia="zh-CN"/>
    </w:rPr>
  </w:style>
  <w:style w:type="character" w:styleId="14">
    <w:name w:val="line number"/>
    <w:basedOn w:val="13"/>
    <w:semiHidden/>
    <w:unhideWhenUsed/>
    <w:uiPriority w:val="99"/>
  </w:style>
  <w:style w:type="character" w:styleId="15">
    <w:name w:val="Hyperlink"/>
    <w:unhideWhenUsed/>
    <w:uiPriority w:val="99"/>
    <w:rPr>
      <w:color w:val="0000FF"/>
      <w:u w:val="single"/>
    </w:rPr>
  </w:style>
  <w:style w:type="character" w:styleId="16">
    <w:name w:val="HTML Code"/>
    <w:basedOn w:val="13"/>
    <w:semiHidden/>
    <w:unhideWhenUsed/>
    <w:uiPriority w:val="99"/>
    <w:rPr>
      <w:rFonts w:ascii="Courier New" w:hAnsi="Courier New" w:eastAsia="Times New Roman" w:cs="Courier New"/>
      <w:sz w:val="20"/>
      <w:szCs w:val="20"/>
    </w:rPr>
  </w:style>
  <w:style w:type="character" w:styleId="17">
    <w:name w:val="footnote reference"/>
    <w:semiHidden/>
    <w:unhideWhenUsed/>
    <w:uiPriority w:val="99"/>
    <w:rPr>
      <w:vertAlign w:val="superscript"/>
    </w:rPr>
  </w:style>
  <w:style w:type="character" w:customStyle="1" w:styleId="18">
    <w:name w:val="Header Char"/>
    <w:link w:val="9"/>
    <w:uiPriority w:val="99"/>
    <w:rPr>
      <w:sz w:val="20"/>
      <w:szCs w:val="20"/>
    </w:rPr>
  </w:style>
  <w:style w:type="character" w:customStyle="1" w:styleId="19">
    <w:name w:val="Footer Char"/>
    <w:link w:val="8"/>
    <w:uiPriority w:val="99"/>
    <w:rPr>
      <w:sz w:val="20"/>
      <w:szCs w:val="20"/>
    </w:rPr>
  </w:style>
  <w:style w:type="character" w:customStyle="1" w:styleId="20">
    <w:name w:val="Balloon Text Char"/>
    <w:link w:val="7"/>
    <w:semiHidden/>
    <w:uiPriority w:val="99"/>
    <w:rPr>
      <w:rFonts w:ascii="Cambria" w:hAnsi="Cambria" w:eastAsia="PMingLiU" w:cs="Times New Roman"/>
      <w:sz w:val="16"/>
      <w:szCs w:val="16"/>
    </w:rPr>
  </w:style>
  <w:style w:type="character" w:customStyle="1" w:styleId="21">
    <w:name w:val="Heading 1 Char"/>
    <w:basedOn w:val="13"/>
    <w:link w:val="2"/>
    <w:uiPriority w:val="0"/>
    <w:rPr>
      <w:rFonts w:ascii="Times New Roman" w:hAnsi="Times New Roman" w:eastAsia="宋体"/>
      <w:b/>
      <w:bCs/>
      <w:sz w:val="24"/>
      <w:szCs w:val="24"/>
      <w:lang w:val="en-GB" w:eastAsia="en-US"/>
    </w:rPr>
  </w:style>
  <w:style w:type="character" w:customStyle="1" w:styleId="22">
    <w:name w:val="Heading 3 Char"/>
    <w:basedOn w:val="13"/>
    <w:link w:val="3"/>
    <w:uiPriority w:val="0"/>
    <w:rPr>
      <w:rFonts w:ascii="Times New Roman" w:hAnsi="Times New Roman" w:eastAsia="宋体"/>
      <w:b/>
      <w:sz w:val="24"/>
      <w:u w:val="single"/>
      <w:lang w:val="en-GB" w:eastAsia="en-US"/>
    </w:rPr>
  </w:style>
  <w:style w:type="character" w:customStyle="1" w:styleId="23">
    <w:name w:val="Heading 4 Char"/>
    <w:basedOn w:val="13"/>
    <w:link w:val="4"/>
    <w:uiPriority w:val="0"/>
    <w:rPr>
      <w:rFonts w:ascii="Times New Roman" w:hAnsi="Times New Roman" w:eastAsia="宋体"/>
      <w:b/>
      <w:bCs/>
      <w:sz w:val="28"/>
      <w:szCs w:val="28"/>
      <w:lang w:val="en-GB" w:eastAsia="en-US"/>
    </w:rPr>
  </w:style>
  <w:style w:type="character" w:customStyle="1" w:styleId="24">
    <w:name w:val="Body Text Indent Char"/>
    <w:basedOn w:val="13"/>
    <w:link w:val="6"/>
    <w:semiHidden/>
    <w:uiPriority w:val="0"/>
    <w:rPr>
      <w:rFonts w:ascii="Times New Roman" w:hAnsi="Times New Roman" w:eastAsia="宋体"/>
      <w:sz w:val="24"/>
      <w:szCs w:val="24"/>
      <w:lang w:val="en-GB" w:eastAsia="en-US"/>
    </w:rPr>
  </w:style>
  <w:style w:type="character" w:customStyle="1" w:styleId="25">
    <w:name w:val="Body Text Char"/>
    <w:basedOn w:val="13"/>
    <w:link w:val="5"/>
    <w:semiHidden/>
    <w:uiPriority w:val="0"/>
    <w:rPr>
      <w:rFonts w:ascii="Times New Roman" w:hAnsi="Times New Roman" w:eastAsia="宋体"/>
      <w:sz w:val="24"/>
      <w:szCs w:val="24"/>
      <w:lang w:val="en-GB" w:eastAsia="en-US"/>
    </w:rPr>
  </w:style>
  <w:style w:type="character" w:customStyle="1" w:styleId="26">
    <w:name w:val="Footnote Text Char"/>
    <w:basedOn w:val="13"/>
    <w:link w:val="10"/>
    <w:semiHidden/>
    <w:uiPriority w:val="99"/>
    <w:rPr>
      <w:rFonts w:ascii="Times New Roman" w:hAnsi="Times New Roman" w:eastAsia="宋体"/>
      <w:lang w:val="en-GB" w:eastAsia="en-US"/>
    </w:rPr>
  </w:style>
  <w:style w:type="paragraph" w:styleId="27">
    <w:name w:val="List Paragraph"/>
    <w:basedOn w:val="1"/>
    <w:qFormat/>
    <w:uiPriority w:val="34"/>
    <w:pPr>
      <w:ind w:left="720"/>
      <w:contextualSpacing/>
    </w:pPr>
  </w:style>
  <w:style w:type="character" w:customStyle="1" w:styleId="28">
    <w:name w:val="Unresolved Mention"/>
    <w:basedOn w:val="13"/>
    <w:semiHidden/>
    <w:unhideWhenUsed/>
    <w:uiPriority w:val="99"/>
    <w:rPr>
      <w:color w:val="605E5C"/>
      <w:shd w:val="clear" w:color="auto" w:fill="E1DFDD"/>
    </w:rPr>
  </w:style>
  <w:style w:type="paragraph" w:customStyle="1" w:styleId="29">
    <w:name w:val="Half Half"/>
    <w:basedOn w:val="1"/>
    <w:qFormat/>
    <w:uiPriority w:val="0"/>
    <w:pPr>
      <w:spacing w:before="180" w:beforeLines="50" w:after="180" w:afterLines="50"/>
    </w:pPr>
    <w:rPr>
      <w:rFonts w:eastAsia="Times New Roman"/>
    </w:rPr>
  </w:style>
  <w:style w:type="paragraph" w:customStyle="1" w:styleId="30">
    <w:name w:val="List Paragraph1"/>
    <w:basedOn w:val="1"/>
    <w:autoRedefine/>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2</Pages>
  <Words>329</Words>
  <Characters>1876</Characters>
  <Lines>15</Lines>
  <Paragraphs>4</Paragraphs>
  <TotalTime>4</TotalTime>
  <ScaleCrop>false</ScaleCrop>
  <LinksUpToDate>false</LinksUpToDate>
  <CharactersWithSpaces>2201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2019-09-13T04:19:00Z</dcterms:created>
  <dc:creator>WAN Hu</dc:creator>
  <cp:lastModifiedBy>刘恒澈</cp:lastModifiedBy>
  <cp:lastPrinted>2019-09-13T04:19:00Z</cp:lastPrinted>
  <dcterms:modified xsi:type="dcterms:W3CDTF">2024-02-29T14:48:10Z</dcterms:modified>
  <dc:title>CSC4465 lab sheet</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C778247D02FF4E738C62C7005D035341_12</vt:lpwstr>
  </property>
</Properties>
</file>