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明心社工事务所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测试计划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河北师范大学软件学院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16级测试方向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编写 刘海迪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  <w:t>2018年 12月</w:t>
      </w: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简介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目的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明心社工事务所测试计划有助于实现以下目标：</w:t>
      </w:r>
    </w:p>
    <w:p>
      <w:pPr>
        <w:spacing w:beforeLines="0" w:afterLines="0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eastAsia="宋体" w:asciiTheme="minorAscii"/>
          <w:sz w:val="28"/>
          <w:szCs w:val="28"/>
          <w:lang w:val="en-US" w:eastAsia="zh-CN"/>
        </w:rPr>
        <w:t xml:space="preserve">    </w:t>
      </w:r>
      <w:r>
        <w:rPr>
          <w:rFonts w:hint="eastAsia" w:hAnsi="宋体" w:eastAsia="宋体" w:asciiTheme="minorAscii"/>
          <w:sz w:val="28"/>
          <w:szCs w:val="28"/>
          <w:lang w:val="en-US" w:eastAsia="zh-CN"/>
        </w:rPr>
        <w:t>1.确定测试内容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2.明确测试需求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3.列出可采用的测试策略，并加以说明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hAnsi="宋体" w:eastAsia="宋体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4.确定所需资源，人员安排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5.确定大概测试时间</w:t>
      </w:r>
    </w:p>
    <w:p>
      <w:pPr>
        <w:numPr>
          <w:ilvl w:val="0"/>
          <w:numId w:val="0"/>
        </w:numPr>
        <w:spacing w:beforeLines="0" w:afterLines="0"/>
        <w:ind w:left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hAnsi="宋体" w:eastAsia="宋体" w:asciiTheme="minorAscii"/>
          <w:sz w:val="28"/>
          <w:szCs w:val="28"/>
          <w:lang w:val="en-US" w:eastAsia="zh-CN"/>
        </w:rPr>
        <w:t>6.列出测试项目可交付元素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背景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本项目为明心社工事务所的企业网站，客户为北京通州明心社工事务所（下简称“客户”）。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>
      <w:pPr>
        <w:ind w:firstLine="42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测试项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明心社工事务所的测试本阶段只包括功能测试，功能测试由测试人员完成。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软件风险问题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1.Bug的修复情况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3.模块功能的实现情况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4.人员经验以及对软件的熟悉度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需要被测试功能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功能测试，接口测试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咨询、倾听、语音模块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注册登录模块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课程模块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阅读模块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个人中心模块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无需被测试功能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性能测试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方法和途径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功能测试：</w:t>
      </w:r>
    </w:p>
    <w:p>
      <w:pPr>
        <w:numPr>
          <w:ilvl w:val="0"/>
          <w:numId w:val="3"/>
        </w:numPr>
        <w:ind w:leftChars="0"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首先编写测试用例，测试用例主要包含测试步骤和预期结果</w:t>
      </w:r>
    </w:p>
    <w:p>
      <w:pPr>
        <w:numPr>
          <w:ilvl w:val="0"/>
          <w:numId w:val="3"/>
        </w:numPr>
        <w:ind w:left="0" w:leftChars="0" w:firstLine="56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使用eclipse编写自动化的单元测试代码，生成测试报告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接口测试：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1.编写接口测试测试用例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2.借助fiddler抓包工具，使用postman进行手动接口测试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测试通过和失败标准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1.功能测试：测试报告中执行成功的则测试通过；执行失败的则测试失败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2.接口测试：postman执行结果符合接口说明文档中结果则成功；反之，失败。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暂停标准和再启动标准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暂停的标准：bug严重级别达到P1致命级别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再启动的标准：发现的错误已经得到修改，各级别缺陷修复率达到标准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测试交付内容</w:t>
      </w:r>
    </w:p>
    <w:p>
      <w:pPr>
        <w:numPr>
          <w:ilvl w:val="0"/>
          <w:numId w:val="0"/>
        </w:numPr>
        <w:ind w:leftChars="0" w:firstLine="642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缺陷报告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测试环境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操作系统：Windows系统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网络：连网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工具：eclipse，redmine，postman，fiddler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服务器：tomcat服务器</w:t>
      </w:r>
    </w:p>
    <w:p>
      <w:pPr>
        <w:numPr>
          <w:ilvl w:val="0"/>
          <w:numId w:val="0"/>
        </w:numPr>
        <w:spacing w:beforeLines="0" w:afterLines="0"/>
        <w:ind w:firstLine="560"/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其他软件：火狐浏览器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人员和必须的培训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刘海迪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功能测试，接口测试（postman的使用）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职责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刘海迪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撰写测试计划、功能测试、接口测试，撰写测试报告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时间进度表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827"/>
        <w:gridCol w:w="1802"/>
        <w:gridCol w:w="1945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12.17</w:t>
            </w:r>
          </w:p>
        </w:tc>
        <w:tc>
          <w:tcPr>
            <w:tcW w:w="18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12.18-12.20</w:t>
            </w:r>
          </w:p>
        </w:tc>
        <w:tc>
          <w:tcPr>
            <w:tcW w:w="1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12.21-12.22</w:t>
            </w:r>
          </w:p>
        </w:tc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12.23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任务</w:t>
            </w:r>
          </w:p>
        </w:tc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8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1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 w:eastAsia="zh-CN"/>
              </w:rPr>
              <w:t>缺陷报告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规划风险</w:t>
      </w:r>
      <w:bookmarkStart w:id="1" w:name="_GoBack"/>
      <w:bookmarkEnd w:id="1"/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风险：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1.测试进度因某些原因延迟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2.缺乏测试经验，测试不能达到好的效果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批准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河北师范大学软件学院批准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0162"/>
    <w:multiLevelType w:val="singleLevel"/>
    <w:tmpl w:val="5C0F01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0F0288"/>
    <w:multiLevelType w:val="singleLevel"/>
    <w:tmpl w:val="5C0F028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C0F7B78"/>
    <w:multiLevelType w:val="singleLevel"/>
    <w:tmpl w:val="5C0F7B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55641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240" w:lineRule="auto"/>
      <w:outlineLvl w:val="0"/>
    </w:pPr>
    <w:rPr>
      <w:rFonts w:asciiTheme="majorAscii" w:hAnsiTheme="majorAscii"/>
      <w:bCs/>
      <w:kern w:val="44"/>
      <w:sz w:val="28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2018-12-11T00:01:00Z</dcterms:created>
  <dc:creator>ASUS</dc:creator>
  <cp:lastModifiedBy>ASUS</cp:lastModifiedBy>
  <dcterms:modified xsi:type="dcterms:W3CDTF">2018-12-21T01:46:22Z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