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2"/>
        <w:rPr>
          <w:color w:val="1a703a"/>
        </w:rPr>
      </w:pPr>
      <w:bookmarkStart w:colFirst="0" w:colLast="0" w:name="_heading=h.fuuxw87etzty" w:id="0"/>
      <w:bookmarkEnd w:id="0"/>
      <w:r>
        <w:rPr>
          <w:color w:val="1a703a"/>
          <w:rtl w:val="0"/>
        </w:rPr>
        <w:t xml:space="preserve">Experiment Report</w:t>
      </w:r>
    </w:p>
    <w:p w14:paraId="00000002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3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4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228600" distT="228600" distL="228600" distR="228600" hidden="0" layoutInCell="1" locked="0" relativeHeight="0" simplePos="0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449"/>
                <wp:effectExtent b="0" l="0" r="0" t="0"/>
                <wp:wrapTopAndBottom distB="228600" distT="228600"/>
                <wp:docPr id="1" name="" descr="Decorative template element" title="Decorative template element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228600" distT="228600" distL="228600" distR="228600" hidden="0" layoutInCell="1" locked="0" relativeHeight="0" simplePos="0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449"/>
                <wp:effectExtent b="0" l="0" r="0" t="0"/>
                <wp:wrapTopAndBottom distB="228600" distT="228600"/>
                <wp:docPr id="1" name="image1.png" descr="Decorative template element" title="Decorative template element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2950" cy="1644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000005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6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w14:paraId="00000007">
      <w:pPr>
        <w:pStyle w:val="Title"/>
        <w:rPr>
          <w:rFonts w:ascii="Georgia" w:cs="Georgia" w:eastAsia="Georgia" w:hAnsi="Georgia"/>
          <w:color w:val="1a703a"/>
        </w:rPr>
      </w:pPr>
      <w:r>
        <w:rPr>
          <w:rFonts w:ascii="Georgia" w:cs="Georgia" w:eastAsia="Georgia" w:hAnsi="Georgia"/>
          <w:color w:val="1a703a"/>
          <w:rtl w:val="0"/>
        </w:rPr>
        <w:t xml:space="preserve">Team-Season xT</w:t>
      </w:r>
    </w:p>
    <w:p w14:paraId="00000008">
      <w:pPr>
        <w:pStyle w:val="Title"/>
        <w:rPr>
          <w:rFonts w:ascii="Georgia" w:cs="Georgia" w:eastAsia="Georgia" w:hAnsi="Georgia"/>
          <w:color w:val="1a703a"/>
        </w:rPr>
      </w:pPr>
      <w:r>
        <w:rPr>
          <w:rFonts w:ascii="Georgia" w:cs="Georgia" w:eastAsia="Georgia" w:hAnsi="Georgia"/>
          <w:color w:val="1a703a"/>
          <w:rtl w:val="0"/>
        </w:rPr>
        <w:t xml:space="preserve">Clustering Analysis</w:t>
      </w:r>
    </w:p>
    <w:p w14:paraId="00000009">
      <w:pPr>
        <w:pStyle w:val="Heading3"/>
        <w:rPr>
          <w:color w:val="105128"/>
        </w:rPr>
      </w:pPr>
      <w:bookmarkStart w:colFirst="0" w:colLast="0" w:name="_heading=h.vj0y3v9ru4fn" w:id="1"/>
      <w:bookmarkEnd w:id="1"/>
      <w:r>
        <w:rPr>
          <w:rtl w:val="0"/>
        </w:rPr>
      </w:r>
    </w:p>
    <w:p w14:paraId="0000000A">
      <w:pPr>
        <w:pStyle w:val="Heading3"/>
        <w:rPr>
          <w:color w:val="105128"/>
        </w:rPr>
      </w:pPr>
      <w:bookmarkStart w:colFirst="0" w:colLast="0" w:name="_heading=h.r64a6lc0ytip" w:id="2"/>
      <w:bookmarkEnd w:id="2"/>
      <w:r>
        <w:rPr>
          <w:rtl w:val="0"/>
        </w:rPr>
      </w:r>
    </w:p>
    <w:p w14:paraId="0000000B">
      <w:pPr>
        <w:pStyle w:val="Heading3"/>
        <w:rPr>
          <w:color w:val="105128"/>
        </w:rPr>
      </w:pPr>
      <w:bookmarkStart w:colFirst="0" w:colLast="0" w:name="_heading=h.8n89tlutz5i6" w:id="3"/>
      <w:bookmarkEnd w:id="3"/>
      <w:r>
        <w:rPr>
          <w:rtl w:val="0"/>
        </w:rPr>
      </w:r>
    </w:p>
    <w:p w14:paraId="0000000C">
      <w:pPr>
        <w:pStyle w:val="Heading3"/>
        <w:rPr>
          <w:color w:val="053b22"/>
        </w:rPr>
      </w:pPr>
      <w:bookmarkStart w:colFirst="0" w:colLast="0" w:name="_heading=h.rnjlnh61vquq" w:id="4"/>
      <w:bookmarkEnd w:id="4"/>
      <w:r>
        <w:rPr>
          <w:rtl w:val="0"/>
        </w:rPr>
      </w:r>
    </w:p>
    <w:p w14:paraId="0000000D">
      <w:pPr>
        <w:rPr>
          <w:color w:val="002715"/>
        </w:rPr>
      </w:pPr>
      <w:r>
        <w:rPr>
          <w:rtl w:val="0"/>
        </w:rPr>
      </w:r>
    </w:p>
    <w:p w14:paraId="0000000E">
      <w:pPr>
        <w:rPr>
          <w:color w:val="002715"/>
        </w:rPr>
      </w:pPr>
      <w:r>
        <w:rPr>
          <w:rtl w:val="0"/>
        </w:rPr>
      </w:r>
    </w:p>
    <w:p w14:paraId="0000000F">
      <w:pPr>
        <w:rPr>
          <w:color w:val="002715"/>
        </w:rPr>
      </w:pPr>
      <w:r>
        <w:rPr>
          <w:rtl w:val="0"/>
        </w:rPr>
      </w:r>
    </w:p>
    <w:p w14:paraId="00000010">
      <w:pPr>
        <w:rPr>
          <w:color w:val="002715"/>
        </w:rPr>
      </w:pPr>
      <w:r>
        <w:rPr>
          <w:rtl w:val="0"/>
        </w:rPr>
      </w:r>
    </w:p>
    <w:p w14:paraId="00000011">
      <w:pPr>
        <w:rPr>
          <w:color w:val="002715"/>
        </w:rPr>
      </w:pPr>
      <w:r>
        <w:rPr>
          <w:rtl w:val="0"/>
        </w:rPr>
      </w:r>
    </w:p>
    <w:p w14:paraId="00000012">
      <w:pPr>
        <w:rPr>
          <w:color w:val="002715"/>
        </w:rPr>
      </w:pPr>
      <w:r>
        <w:rPr>
          <w:rtl w:val="0"/>
        </w:rPr>
      </w:r>
    </w:p>
    <w:p w14:paraId="00000013">
      <w:pPr>
        <w:rPr>
          <w:color w:val="002715"/>
        </w:rPr>
      </w:pPr>
      <w:r>
        <w:rPr>
          <w:rtl w:val="0"/>
        </w:rPr>
      </w:r>
    </w:p>
    <w:p w14:paraId="00000014">
      <w:pPr>
        <w:rPr>
          <w:color w:val="002715"/>
        </w:rPr>
      </w:pPr>
      <w:r>
        <w:rPr>
          <w:rtl w:val="0"/>
        </w:rPr>
      </w:r>
    </w:p>
    <w:p w14:paraId="00000015">
      <w:pPr>
        <w:rPr>
          <w:color w:val="002715"/>
        </w:rPr>
      </w:pPr>
      <w:r>
        <w:rPr>
          <w:rtl w:val="0"/>
        </w:rPr>
      </w:r>
    </w:p>
    <w:p w14:paraId="00000016">
      <w:pPr>
        <w:rPr>
          <w:color w:val="002715"/>
        </w:rPr>
      </w:pPr>
      <w:r>
        <w:rPr>
          <w:rtl w:val="0"/>
        </w:rPr>
      </w:r>
    </w:p>
    <w:p w14:paraId="00000017">
      <w:pPr>
        <w:rPr>
          <w:color w:val="434343"/>
        </w:rPr>
      </w:pPr>
      <w:r>
        <w:rPr>
          <w:rtl w:val="0"/>
        </w:rPr>
      </w:r>
    </w:p>
    <w:p w14:paraId="00000018">
      <w:pPr>
        <w:pStyle w:val="Heading3"/>
        <w:rPr>
          <w:color w:val="000000"/>
        </w:rPr>
      </w:pPr>
      <w:bookmarkStart w:colFirst="0" w:colLast="0" w:name="_heading=h.a28c2t63c20t" w:id="5"/>
      <w:bookmarkEnd w:id="5"/>
      <w:r>
        <w:rPr>
          <w:color w:val="000000"/>
          <w:rtl w:val="0"/>
        </w:rPr>
        <w:t xml:space="preserve">Project Repository Author</w:t>
      </w:r>
    </w:p>
    <w:p w14:paraId="00000019">
      <w:pPr>
        <w:pStyle w:val="Heading3"/>
        <w:rPr>
          <w:color w:val="000000"/>
        </w:rPr>
      </w:pPr>
      <w:bookmarkStart w:colFirst="0" w:colLast="0" w:name="_heading=h.io4lnv62zpnv" w:id="6"/>
      <w:bookmarkEnd w:id="6"/>
      <w:r>
        <w:rPr>
          <w:color w:val="000000"/>
          <w:rtl w:val="0"/>
        </w:rPr>
        <w:t xml:space="preserve">July 27, 2026</w:t>
      </w:r>
    </w:p>
    <w:p w14:paraId="0000001A">
      <w:pPr>
        <w:pStyle w:val="Heading3"/>
        <w:rPr>
          <w:color w:val="000000"/>
        </w:rPr>
      </w:pPr>
      <w:bookmarkStart w:colFirst="0" w:colLast="0" w:name="_heading=h.l0z5dez015hw" w:id="7"/>
      <w:bookmarkEnd w:id="7"/>
      <w:r>
        <w:br w:type="page"/>
      </w:r>
      <w:r>
        <w:rPr>
          <w:rtl w:val="0"/>
        </w:rPr>
      </w:r>
    </w:p>
    <w:p w14:paraId="0000001B">
      <w:pPr>
        <w:pStyle w:val="Heading1"/>
        <w:rPr/>
      </w:pPr>
      <w:r>
        <w:rPr>
          <w:rtl w:val="0"/>
        </w:rPr>
        <w:t xml:space="preserve">Document Control</w:t>
      </w:r>
    </w:p>
    <w:p w14:paraId="0000001C">
      <w:pPr>
        <w:rPr/>
      </w:pPr>
      <w:r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405"/>
        <w:gridCol w:w="6945"/>
        <w:tblGridChange w:id="0">
          <w:tblGrid>
            <w:gridCol w:w="2405"/>
            <w:gridCol w:w="6945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1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Version</w:t>
            </w:r>
          </w:p>
        </w:tc>
        <w:tc>
          <w:tcPr>
            <w:vAlign w:val="center"/>
          </w:tcPr>
          <w:p w14:paraId="0000001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1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Prepared By</w:t>
            </w:r>
          </w:p>
        </w:tc>
        <w:tc>
          <w:tcPr>
            <w:vAlign w:val="center"/>
          </w:tcPr>
          <w:p w14:paraId="0000002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Project repository author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Reviewers</w:t>
            </w:r>
          </w:p>
        </w:tc>
        <w:tc>
          <w:tcPr>
            <w:vAlign w:val="center"/>
          </w:tcPr>
          <w:p w14:paraId="0000002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Independent review not yet recorded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Date Prepared</w:t>
            </w:r>
          </w:p>
        </w:tc>
        <w:tc>
          <w:tcPr>
            <w:vAlign w:val="center"/>
          </w:tcPr>
          <w:p w14:paraId="0000002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July 27,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Reporting Window</w:t>
            </w:r>
          </w:p>
        </w:tc>
        <w:tc>
          <w:tcPr>
            <w:vAlign w:val="center"/>
          </w:tcPr>
          <w:p w14:paraId="0000002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Recorded runs: July 8-18,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2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vAlign w:val="center"/>
          </w:tcPr>
          <w:p w14:paraId="0000002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Final project report</w:t>
            </w:r>
          </w:p>
        </w:tc>
      </w:tr>
    </w:tbl>
    <w:p w14:paraId="00000029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2A">
      <w:pPr>
        <w:pStyle w:val="Heading1"/>
        <w:rPr/>
      </w:pPr>
      <w:r>
        <w:rPr>
          <w:rtl w:val="0"/>
        </w:rPr>
        <w:t xml:space="preserve">Purpose</w:t>
      </w:r>
    </w:p>
    <w:p w14:paraId="0000002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This report records the objective, execution, evidence, and decision for the repository's team-season Expected Threat (xT) clustering experiments. It covers the shared data pipeline and Experiments A, B, and C; downstream match forecasts are outside the decision scope.</w:t>
      </w:r>
    </w:p>
    <w:p w14:paraId="0000002C">
      <w:pPr>
        <w:spacing w:after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record is maintained as an auditable companion to the notebooks and saved outputs. It gives reviewers a concise path from source data and validation rules to model diagnostics, limitations, and reproducible next steps.</w:t>
      </w:r>
    </w:p>
    <w:p w14:paraId="0000002D">
      <w:pPr>
        <w:spacing w:after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2E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Project Context</w:t>
      </w:r>
    </w:p>
    <w:p w14:paraId="0000002F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Football event data contain millions of nested actions that are difficult to compare directly across teams and seasons. This project converts local StatsBomb JSON into a validated catalog of team-season spatial features so tactical patterns can be inspected quantitatively.</w:t>
      </w:r>
    </w:p>
    <w:p w14:paraId="00000030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Numerical 16 x 12 pitch matrices were selected because every feature maps to a known zone and avoids visual noise from heatmap rendering. A single global xT model keeps all team-seasons on a shared value scale.</w:t>
      </w:r>
    </w:p>
    <w:p>
      <w:pPr>
        <w:keepNext/>
        <w:spacing w:before="140" w:after="60"/>
        <w:jc w:val="center"/>
      </w:pPr>
      <w:r>
        <w:drawing>
          <wp:inline>
            <wp:extent cx="5623560" cy="3374136"/>
            <wp:docPr id="3" name="Picture 3" descr="Heatmap of the global expected-threat model across a 16 by 12 football pitch grid, with higher values concentrated near the attacking goal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xt_heatmap_doc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74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Georgia" w:hAnsi="Georgia" w:eastAsia="Georgia"/>
          <w:i/>
          <w:color w:val="3F5E4D"/>
          <w:sz w:val="18"/>
        </w:rPr>
        <w:t>Figure 1. Global 16 x 12 xT zone values generated by the shared notebook pipeline.</w:t>
      </w:r>
    </w:p>
    <w:p w14:paraId="0000003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Summary</w:t>
      </w:r>
    </w:p>
    <w:p w14:paraId="00000032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2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547"/>
        <w:gridCol w:w="6803"/>
        <w:tblGridChange w:id="0">
          <w:tblGrid>
            <w:gridCol w:w="2547"/>
            <w:gridCol w:w="6803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3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shd w:fill="f3f3f3" w:val="clear"/>
            <w:vAlign w:val="center"/>
          </w:tcPr>
          <w:p w14:paraId="00000034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Details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Name</w:t>
            </w:r>
          </w:p>
        </w:tc>
        <w:tc>
          <w:tcPr>
            <w:vAlign w:val="center"/>
          </w:tcPr>
          <w:p w14:paraId="0000003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Team-Season xT Tactical Clustering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Key</w:t>
            </w:r>
          </w:p>
        </w:tc>
        <w:tc>
          <w:tcPr>
            <w:vAlign w:val="center"/>
          </w:tcPr>
          <w:p w14:paraId="0000003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XT-CLUSTER-A-B-C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Owner Team</w:t>
            </w:r>
          </w:p>
        </w:tc>
        <w:tc>
          <w:tcPr>
            <w:vAlign w:val="center"/>
          </w:tcPr>
          <w:p w14:paraId="0000003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Independent portfolio project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Owner</w:t>
            </w:r>
          </w:p>
        </w:tc>
        <w:tc>
          <w:tcPr>
            <w:vAlign w:val="center"/>
          </w:tcPr>
          <w:p w14:paraId="0000003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Project repository author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Analysis Surface</w:t>
            </w:r>
          </w:p>
        </w:tc>
        <w:tc>
          <w:tcPr>
            <w:vAlign w:val="center"/>
          </w:tcPr>
          <w:p w14:paraId="0000003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Jupyter notebooks and generated artifacts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3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Primary Objective</w:t>
            </w:r>
          </w:p>
        </w:tc>
        <w:tc>
          <w:tcPr>
            <w:vAlign w:val="center"/>
          </w:tcPr>
          <w:p w14:paraId="0000004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Compare spatial xT feature representations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vAlign w:val="center"/>
          </w:tcPr>
          <w:p w14:paraId="0000004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 raw created-xT start-zone features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B</w:t>
            </w:r>
          </w:p>
        </w:tc>
        <w:tc>
          <w:tcPr>
            <w:vAlign w:val="center"/>
          </w:tcPr>
          <w:p w14:paraId="0000004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 recorded smoothed created-xT features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Extension C</w:t>
            </w:r>
          </w:p>
        </w:tc>
        <w:tc>
          <w:tcPr>
            <w:vAlign w:val="center"/>
          </w:tcPr>
          <w:p w14:paraId="0000004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384 created and received xT features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Unit of Analysis</w:t>
            </w:r>
          </w:p>
        </w:tc>
        <w:tc>
          <w:tcPr>
            <w:vAlign w:val="center"/>
          </w:tcPr>
          <w:p w14:paraId="0000004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One team in one season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Eligible Sample</w:t>
            </w:r>
          </w:p>
        </w:tc>
        <w:tc>
          <w:tcPr>
            <w:vAlign w:val="center"/>
          </w:tcPr>
          <w:p w14:paraId="0000004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Team-seasons meeting quality filters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Exclusions</w:t>
            </w:r>
          </w:p>
        </w:tc>
        <w:tc>
          <w:tcPr>
            <w:vAlign w:val="center"/>
          </w:tcPr>
          <w:p w14:paraId="0000004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Low match count, missing values, or zero feature sum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Build Date</w:t>
            </w:r>
          </w:p>
        </w:tc>
        <w:tc>
          <w:tcPr>
            <w:vAlign w:val="center"/>
          </w:tcPr>
          <w:p w14:paraId="0000004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July 8,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4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Outputs</w:t>
            </w:r>
          </w:p>
        </w:tc>
        <w:tc>
          <w:tcPr>
            <w:vAlign w:val="center"/>
          </w:tcPr>
          <w:p w14:paraId="0000005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Recorded through July 14,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5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Candidate k</w:t>
            </w:r>
          </w:p>
        </w:tc>
        <w:tc>
          <w:tcPr>
            <w:vAlign w:val="center"/>
          </w:tcPr>
          <w:p w14:paraId="0000005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 through 10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5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Saved Configuration</w:t>
            </w:r>
          </w:p>
        </w:tc>
        <w:tc>
          <w:tcPr>
            <w:vAlign w:val="center"/>
          </w:tcPr>
          <w:p w14:paraId="0000005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 = 5 for cross-experiment comparison</w:t>
            </w:r>
          </w:p>
        </w:tc>
      </w:tr>
    </w:tbl>
    <w:p w14:paraId="00000055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56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Design Notes</w:t>
      </w:r>
    </w:p>
    <w:p w14:paraId="00000057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A is the raw created-xT baseline. Experiment B tests the recorded smoothed representation. Experiment C extends the feature space with received xT. The notebooks hold the filtered sample, scaling, PCA target, candidate k range, final k, and output contract constant where applicable.</w:t>
      </w:r>
    </w:p>
    <w:p w14:paraId="00000058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unit of analysis is one team in one season. Rows below the match-count threshold are excluded before modeling. StandardScaler precedes PCA, PCA retains about 85% of variance, and KMeans candidates from k = 3 to 10 are evaluated with the same three internal metrics.</w:t>
      </w:r>
    </w:p>
    <w:p w14:paraId="00000059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5A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Hypothesis</w:t>
      </w:r>
    </w:p>
    <w:p w14:paraId="0000005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If smoothing reduces isolated zone noise, Experiment B should preserve broad structure while improving separation over A. If received xT adds complementary spatial information, Experiment C should change assignments and improve multiple separation diagnostics without sacrificing interpretability.</w:t>
      </w:r>
    </w:p>
    <w:p w14:paraId="0000005C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5D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Success Criteria</w:t>
      </w:r>
    </w:p>
    <w:p w14:paraId="0000005E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No single unsupervised score proves tactical validity. A representation is useful only when data checks pass, several diagnostics move coherently, clusters are not driven by isolated samples, and centroid or representative evidence supports cautious spatial descriptions.</w:t>
      </w:r>
    </w:p>
    <w:tbl>
      <w:tblPr>
        <w:tblStyle w:val="Table3"/>
        <w:tblW w:w="9350.0" w:type="dxa"/>
        <w:jc w:val="center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405"/>
        <w:gridCol w:w="6945"/>
        <w:tblGridChange w:id="0">
          <w:tblGrid>
            <w:gridCol w:w="2405"/>
            <w:gridCol w:w="6945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5F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Metric</w:t>
            </w:r>
          </w:p>
        </w:tc>
        <w:tc>
          <w:tcPr>
            <w:shd w:fill="f3f3f3" w:val="clear"/>
            <w:vAlign w:val="center"/>
          </w:tcPr>
          <w:p w14:paraId="00000060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Target / Rule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1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Separation</w:t>
            </w:r>
          </w:p>
        </w:tc>
        <w:tc>
          <w:tcPr>
            <w:vAlign w:val="center"/>
          </w:tcPr>
          <w:p w14:paraId="00000062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Higher silhouette and CH; lower DB than baseline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3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Stability</w:t>
            </w:r>
          </w:p>
        </w:tc>
        <w:tc>
          <w:tcPr>
            <w:vAlign w:val="center"/>
          </w:tcPr>
          <w:p w14:paraId="00000064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Use ARI and NMI on the same 288 samples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5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Data quality</w:t>
            </w:r>
          </w:p>
        </w:tc>
        <w:tc>
          <w:tcPr>
            <w:vAlign w:val="center"/>
          </w:tcPr>
          <w:p w14:paraId="00000066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missing or zero-sum rows after filtering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7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Interpretability</w:t>
            </w:r>
          </w:p>
        </w:tc>
        <w:tc>
          <w:tcPr>
            <w:vAlign w:val="center"/>
          </w:tcPr>
          <w:p w14:paraId="00000068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Centroids and representatives support cautious descriptions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69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rule</w:t>
            </w:r>
          </w:p>
        </w:tc>
        <w:tc>
          <w:tcPr>
            <w:vAlign w:val="center"/>
          </w:tcPr>
          <w:p w14:paraId="0000006A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Keep exploratory unless diagnostics and stability agree</w:t>
            </w:r>
          </w:p>
        </w:tc>
      </w:tr>
    </w:tbl>
    <w:p w14:paraId="0000006B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6C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Pre-Analysis Validation</w:t>
      </w:r>
    </w:p>
    <w:p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global xT model was used so all team-season rows share the same value scale.</w:t>
      </w:r>
      <w:r>
        <w:rPr>
          <w:rtl w:val="0"/>
        </w:rPr>
      </w:r>
    </w:p>
    <w:p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Experiments were compared on the same 288 eligible team-season rows.</w:t>
      </w:r>
      <w:r>
        <w:rPr>
          <w:rtl w:val="0"/>
        </w:rPr>
      </w:r>
    </w:p>
    <w:p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Post-filter feature matrices contained no missing values; one zero-sum row was removed.</w:t>
      </w:r>
      <w:r>
        <w:rPr>
          <w:rtl w:val="0"/>
        </w:rPr>
      </w:r>
    </w:p>
    <w:p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Candidate cluster counts from k = 3 through k = 10 were recorded with three diagnostics.</w:t>
      </w:r>
      <w:r>
        <w:rPr>
          <w:rtl w:val="0"/>
        </w:rPr>
      </w:r>
    </w:p>
    <w:p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Numeric matrices, rather than rendered heatmaps, were used as model inputs.</w:t>
      </w:r>
      <w:r>
        <w:rPr>
          <w:rtl w:val="0"/>
        </w:rPr>
      </w:r>
    </w:p>
    <w:p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right="0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73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Sample and Feature Summary</w:t>
      </w:r>
    </w:p>
    <w:p w14:paraId="00000074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build produced 922 team-season rows. Quality filtering removed 633 rows below the match threshold and one zero-sum row, leaving 288 complete samples. Experiments A and B used 192 features; Experiment C used 384 created-and-received xT features.</w:t>
      </w:r>
    </w:p>
    <w:tbl>
      <w:tblPr>
        <w:tblStyle w:val="Table4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3823"/>
        <w:gridCol w:w="2693"/>
        <w:gridCol w:w="2834"/>
        <w:tblGridChange w:id="0">
          <w:tblGrid>
            <w:gridCol w:w="3823"/>
            <w:gridCol w:w="2693"/>
            <w:gridCol w:w="2834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75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Metric</w:t>
            </w:r>
          </w:p>
        </w:tc>
        <w:tc>
          <w:tcPr>
            <w:shd w:fill="f3f3f3" w:val="clear"/>
            <w:vAlign w:val="center"/>
          </w:tcPr>
          <w:p w14:paraId="00000076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shd w:fill="f3f3f3" w:val="clear"/>
            <w:vAlign w:val="center"/>
          </w:tcPr>
          <w:p w14:paraId="0000007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B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7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Rows analyzed</w:t>
            </w:r>
          </w:p>
        </w:tc>
        <w:tc>
          <w:tcPr>
            <w:vAlign w:val="center"/>
          </w:tcPr>
          <w:p w14:paraId="0000007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288</w:t>
            </w:r>
          </w:p>
        </w:tc>
        <w:tc>
          <w:tcPr>
            <w:vAlign w:val="center"/>
          </w:tcPr>
          <w:p w14:paraId="0000007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288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7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Spatial features</w:t>
            </w:r>
          </w:p>
        </w:tc>
        <w:tc>
          <w:tcPr>
            <w:vAlign w:val="center"/>
          </w:tcPr>
          <w:p w14:paraId="0000007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</w:t>
            </w:r>
          </w:p>
        </w:tc>
        <w:tc>
          <w:tcPr>
            <w:vAlign w:val="center"/>
          </w:tcPr>
          <w:p w14:paraId="0000007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7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Final clusters</w:t>
            </w:r>
          </w:p>
        </w:tc>
        <w:tc>
          <w:tcPr>
            <w:vAlign w:val="center"/>
          </w:tcPr>
          <w:p w14:paraId="0000007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vAlign w:val="center"/>
          </w:tcPr>
          <w:p w14:paraId="0000008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8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PCA components</w:t>
            </w:r>
          </w:p>
        </w:tc>
        <w:tc>
          <w:tcPr>
            <w:vAlign w:val="center"/>
          </w:tcPr>
          <w:p w14:paraId="0000008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75</w:t>
            </w:r>
          </w:p>
        </w:tc>
        <w:tc>
          <w:tcPr>
            <w:vAlign w:val="center"/>
          </w:tcPr>
          <w:p w14:paraId="0000008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75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8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Quality check</w:t>
            </w:r>
          </w:p>
        </w:tc>
        <w:tc>
          <w:tcPr>
            <w:vAlign w:val="center"/>
          </w:tcPr>
          <w:p w14:paraId="0000008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 missing; pass</w:t>
            </w:r>
          </w:p>
        </w:tc>
        <w:tc>
          <w:tcPr>
            <w:vAlign w:val="center"/>
          </w:tcPr>
          <w:p w14:paraId="0000008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 missing; pass</w:t>
            </w:r>
          </w:p>
        </w:tc>
      </w:tr>
    </w:tbl>
    <w:p w14:paraId="00000087">
      <w:pPr>
        <w:spacing w:after="240" w:before="240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088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Primary Outcome</w:t>
      </w:r>
    </w:p>
    <w:p w14:paraId="00000089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5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1870"/>
        <w:gridCol w:w="1870"/>
        <w:gridCol w:w="1870"/>
        <w:gridCol w:w="1870"/>
        <w:gridCol w:w="1870"/>
        <w:tblGridChange w:id="0">
          <w:tblGrid>
            <w:gridCol w:w="1870"/>
            <w:gridCol w:w="1870"/>
            <w:gridCol w:w="1870"/>
            <w:gridCol w:w="1870"/>
            <w:gridCol w:w="187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8A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Measure</w:t>
            </w:r>
          </w:p>
        </w:tc>
        <w:tc>
          <w:tcPr>
            <w:shd w:fill="f3f3f3" w:val="clear"/>
            <w:vAlign w:val="center"/>
          </w:tcPr>
          <w:p w14:paraId="0000008B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shd w:fill="f3f3f3" w:val="clear"/>
            <w:vAlign w:val="center"/>
          </w:tcPr>
          <w:p w14:paraId="0000008C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B</w:t>
            </w:r>
          </w:p>
        </w:tc>
        <w:tc>
          <w:tcPr>
            <w:shd w:fill="f3f3f3" w:val="clear"/>
            <w:vAlign w:val="center"/>
          </w:tcPr>
          <w:p w14:paraId="0000008D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Delta</w:t>
            </w:r>
          </w:p>
        </w:tc>
        <w:tc>
          <w:tcPr>
            <w:shd w:fill="f3f3f3" w:val="clear"/>
            <w:vAlign w:val="center"/>
          </w:tcPr>
          <w:p w14:paraId="0000008E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Result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8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Silhouette (k=5)</w:t>
            </w:r>
          </w:p>
        </w:tc>
        <w:tc>
          <w:tcPr>
            <w:vAlign w:val="center"/>
          </w:tcPr>
          <w:p w14:paraId="0000009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0.0296</w:t>
            </w:r>
          </w:p>
        </w:tc>
        <w:tc>
          <w:tcPr>
            <w:vAlign w:val="center"/>
          </w:tcPr>
          <w:p w14:paraId="0000009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0.0296</w:t>
            </w:r>
          </w:p>
        </w:tc>
        <w:tc>
          <w:tcPr>
            <w:vAlign w:val="center"/>
          </w:tcPr>
          <w:p w14:paraId="0000009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+0.0000</w:t>
            </w:r>
          </w:p>
        </w:tc>
        <w:tc>
          <w:tcPr>
            <w:vAlign w:val="center"/>
          </w:tcPr>
          <w:p w14:paraId="0000009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practical change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9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PCA variance</w:t>
            </w:r>
          </w:p>
        </w:tc>
        <w:tc>
          <w:tcPr>
            <w:vAlign w:val="center"/>
          </w:tcPr>
          <w:p w14:paraId="0000009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0.8527</w:t>
            </w:r>
          </w:p>
        </w:tc>
        <w:tc>
          <w:tcPr>
            <w:vAlign w:val="center"/>
          </w:tcPr>
          <w:p w14:paraId="0000009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0.8527</w:t>
            </w:r>
          </w:p>
        </w:tc>
        <w:tc>
          <w:tcPr>
            <w:vAlign w:val="center"/>
          </w:tcPr>
          <w:p w14:paraId="00000097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~0.0000</w:t>
            </w:r>
          </w:p>
        </w:tc>
        <w:tc>
          <w:tcPr>
            <w:vAlign w:val="center"/>
          </w:tcPr>
          <w:p w14:paraId="0000009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Equivalent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9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ARI / NMI</w:t>
            </w:r>
          </w:p>
        </w:tc>
        <w:tc>
          <w:tcPr>
            <w:vAlign w:val="center"/>
          </w:tcPr>
          <w:p w14:paraId="0000009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Reference</w:t>
            </w:r>
          </w:p>
        </w:tc>
        <w:tc>
          <w:tcPr>
            <w:vAlign w:val="center"/>
          </w:tcPr>
          <w:p w14:paraId="0000009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1.000 / 1.000</w:t>
            </w:r>
          </w:p>
        </w:tc>
        <w:tc>
          <w:tcPr>
            <w:vAlign w:val="center"/>
          </w:tcPr>
          <w:p w14:paraId="0000009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Identical</w:t>
            </w:r>
          </w:p>
        </w:tc>
        <w:tc>
          <w:tcPr>
            <w:vAlign w:val="center"/>
          </w:tcPr>
          <w:p w14:paraId="0000009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differentiation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9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Outcome</w:t>
            </w:r>
          </w:p>
        </w:tc>
        <w:tc>
          <w:tcPr>
            <w:vAlign w:val="center"/>
          </w:tcPr>
          <w:p w14:paraId="0000009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Raw baseline</w:t>
            </w:r>
          </w:p>
        </w:tc>
        <w:tc>
          <w:tcPr>
            <w:vAlign w:val="center"/>
          </w:tcPr>
          <w:p w14:paraId="000000A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Smoothed run</w:t>
            </w:r>
          </w:p>
        </w:tc>
        <w:tc>
          <w:tcPr>
            <w:vAlign w:val="center"/>
          </w:tcPr>
          <w:p w14:paraId="000000A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vAlign w:val="center"/>
          </w:tcPr>
          <w:p w14:paraId="000000A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Hypothesis not supported</w:t>
            </w:r>
          </w:p>
        </w:tc>
      </w:tr>
    </w:tbl>
    <w:p w14:paraId="000000A3">
      <w:pPr>
        <w:spacing w:after="240" w:before="240" w:lineRule="auto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Experiments A and B produced identical assignments on all 288 rows (ARI = 1.000, NMI = 1.000) and effectively identical k = 5 diagnostics. The recorded smoothing hypothesis is therefore not supported by this run.</w:t>
      </w:r>
    </w:p>
    <w:p>
      <w:pPr>
        <w:keepNext/>
        <w:spacing w:before="140" w:after="60"/>
        <w:jc w:val="center"/>
      </w:pPr>
      <w:r>
        <w:drawing>
          <wp:inline>
            <wp:extent cx="5623560" cy="3862683"/>
            <wp:docPr id="4" name="Picture 4" descr="Four line charts for Experiment A showing inertia, silhouette, Calinski-Harabasz, and Davies-Bouldin scores for k values from 3 through 10, with k equals 5 marked by a dotted line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A_metrics_d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6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Georgia" w:hAnsi="Georgia" w:eastAsia="Georgia"/>
          <w:i/>
          <w:color w:val="3F5E4D"/>
          <w:sz w:val="18"/>
        </w:rPr>
        <w:t>Figure 2. Experiment A model-selection diagnostics across candidate k values; the dotted line marks k = 5.</w:t>
      </w:r>
    </w:p>
    <w:p w14:paraId="000000A4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0A5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Quality Diagnostics</w:t>
      </w:r>
    </w:p>
    <w:p w14:paraId="000000A6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6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263"/>
        <w:gridCol w:w="1843"/>
        <w:gridCol w:w="1843"/>
        <w:gridCol w:w="1701"/>
        <w:gridCol w:w="1700"/>
        <w:tblGridChange w:id="0">
          <w:tblGrid>
            <w:gridCol w:w="2263"/>
            <w:gridCol w:w="1843"/>
            <w:gridCol w:w="1843"/>
            <w:gridCol w:w="1701"/>
            <w:gridCol w:w="170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A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Diagnostic</w:t>
            </w:r>
          </w:p>
        </w:tc>
        <w:tc>
          <w:tcPr>
            <w:shd w:fill="f3f3f3" w:val="clear"/>
            <w:vAlign w:val="center"/>
          </w:tcPr>
          <w:p w14:paraId="000000A8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A</w:t>
            </w:r>
          </w:p>
        </w:tc>
        <w:tc>
          <w:tcPr>
            <w:shd w:fill="f3f3f3" w:val="clear"/>
            <w:vAlign w:val="center"/>
          </w:tcPr>
          <w:p w14:paraId="000000A9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Experiment C</w:t>
            </w:r>
          </w:p>
        </w:tc>
        <w:tc>
          <w:tcPr>
            <w:shd w:fill="f3f3f3" w:val="clear"/>
            <w:vAlign w:val="center"/>
          </w:tcPr>
          <w:p w14:paraId="000000AA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Delta</w:t>
            </w:r>
          </w:p>
        </w:tc>
        <w:tc>
          <w:tcPr>
            <w:shd w:fill="f3f3f3" w:val="clear"/>
            <w:vAlign w:val="center"/>
          </w:tcPr>
          <w:p w14:paraId="000000AB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Status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A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Silhouette (k=5)</w:t>
            </w:r>
          </w:p>
        </w:tc>
        <w:tc>
          <w:tcPr>
            <w:vAlign w:val="center"/>
          </w:tcPr>
          <w:p w14:paraId="000000A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0.0296</w:t>
            </w:r>
          </w:p>
        </w:tc>
        <w:tc>
          <w:tcPr>
            <w:vAlign w:val="center"/>
          </w:tcPr>
          <w:p w14:paraId="000000A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0.0436</w:t>
            </w:r>
          </w:p>
        </w:tc>
        <w:tc>
          <w:tcPr>
            <w:vAlign w:val="center"/>
          </w:tcPr>
          <w:p w14:paraId="000000A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+0.0140</w:t>
            </w:r>
          </w:p>
        </w:tc>
        <w:tc>
          <w:tcPr>
            <w:vAlign w:val="center"/>
          </w:tcPr>
          <w:p w14:paraId="000000B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Improved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B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Calinski-Harabasz</w:t>
            </w:r>
          </w:p>
        </w:tc>
        <w:tc>
          <w:tcPr>
            <w:vAlign w:val="center"/>
          </w:tcPr>
          <w:p w14:paraId="000000B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10.2786</w:t>
            </w:r>
          </w:p>
        </w:tc>
        <w:tc>
          <w:tcPr>
            <w:vAlign w:val="center"/>
          </w:tcPr>
          <w:p w14:paraId="000000B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14.7739</w:t>
            </w:r>
          </w:p>
        </w:tc>
        <w:tc>
          <w:tcPr>
            <w:vAlign w:val="center"/>
          </w:tcPr>
          <w:p w14:paraId="000000B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+4.4953</w:t>
            </w:r>
          </w:p>
        </w:tc>
        <w:tc>
          <w:tcPr>
            <w:vAlign w:val="center"/>
          </w:tcPr>
          <w:p w14:paraId="000000B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Improved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B6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Davies-Bouldin</w:t>
            </w:r>
          </w:p>
        </w:tc>
        <w:tc>
          <w:tcPr>
            <w:vAlign w:val="center"/>
          </w:tcPr>
          <w:p w14:paraId="000000B7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2.3701</w:t>
            </w:r>
          </w:p>
        </w:tc>
        <w:tc>
          <w:tcPr>
            <w:vAlign w:val="center"/>
          </w:tcPr>
          <w:p w14:paraId="000000B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2.4003</w:t>
            </w:r>
          </w:p>
        </w:tc>
        <w:tc>
          <w:tcPr>
            <w:vAlign w:val="center"/>
          </w:tcPr>
          <w:p w14:paraId="000000B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+0.0302</w:t>
            </w:r>
          </w:p>
        </w:tc>
        <w:tc>
          <w:tcPr>
            <w:vAlign w:val="center"/>
          </w:tcPr>
          <w:p w14:paraId="000000B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Worse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w14:paraId="000000B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Singleton clusters</w:t>
            </w:r>
          </w:p>
        </w:tc>
        <w:tc>
          <w:tcPr>
            <w:vAlign w:val="center"/>
          </w:tcPr>
          <w:p w14:paraId="000000B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vAlign w:val="center"/>
          </w:tcPr>
          <w:p w14:paraId="000000B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vAlign w:val="center"/>
          </w:tcPr>
          <w:p w14:paraId="000000B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-1</w:t>
            </w:r>
          </w:p>
        </w:tc>
        <w:tc>
          <w:tcPr>
            <w:vAlign w:val="center"/>
          </w:tcPr>
          <w:p w14:paraId="000000B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Caution remains</w:t>
            </w:r>
          </w:p>
        </w:tc>
      </w:tr>
    </w:tbl>
    <w:p w14:paraId="000000C0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C improved the k = 5 silhouette and Calinski-Harabasz scores, but its Davies-Bouldin score worsened slightly. One singleton cluster remained. The richer representation is informative, but evidence is mixed rather than conclusive.</w:t>
      </w:r>
    </w:p>
    <w:p>
      <w:pPr>
        <w:keepNext/>
        <w:spacing w:before="140" w:after="60"/>
        <w:jc w:val="center"/>
      </w:pPr>
      <w:r>
        <w:drawing>
          <wp:inline>
            <wp:extent cx="5623560" cy="3887286"/>
            <wp:docPr id="5" name="Picture 5" descr="Four line charts for Experiment C showing inertia, silhouette, Calinski-Harabasz, and Davies-Bouldin scores for k values from 3 through 10, with k equals 5 marked by a dotted line." title="Fig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C_metrics_d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8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Georgia" w:hAnsi="Georgia" w:eastAsia="Georgia"/>
          <w:i/>
          <w:color w:val="3F5E4D"/>
          <w:sz w:val="18"/>
        </w:rPr>
        <w:t>Figure 3. Experiment C model-selection diagnostics across candidate k values; the dotted line marks k = 5.</w:t>
      </w:r>
    </w:p>
    <w:p w14:paraId="000000C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Cross-Experiment Results</w:t>
      </w:r>
    </w:p>
    <w:p w14:paraId="000000C2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comparisons are exploratory and use internal clustering diagnostics, not labeled tactical ground truth. ARI and NMI measure assignment agreement on the shared 288-row sample; they do not measure whether a cluster name is correct.</w:t>
      </w:r>
    </w:p>
    <w:tbl>
      <w:tblPr>
        <w:tblStyle w:val="Table7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1870"/>
        <w:gridCol w:w="1870"/>
        <w:gridCol w:w="1870"/>
        <w:gridCol w:w="1870"/>
        <w:gridCol w:w="1870"/>
        <w:tblGridChange w:id="0">
          <w:tblGrid>
            <w:gridCol w:w="1870"/>
            <w:gridCol w:w="1870"/>
            <w:gridCol w:w="1870"/>
            <w:gridCol w:w="1870"/>
            <w:gridCol w:w="187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C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Comparison</w:t>
            </w:r>
          </w:p>
        </w:tc>
        <w:tc>
          <w:tcPr>
            <w:shd w:fill="f3f3f3" w:val="clear"/>
            <w:vAlign w:val="center"/>
          </w:tcPr>
          <w:p w14:paraId="000000C4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Baseline</w:t>
            </w:r>
          </w:p>
        </w:tc>
        <w:tc>
          <w:tcPr>
            <w:shd w:fill="f3f3f3" w:val="clear"/>
            <w:vAlign w:val="center"/>
          </w:tcPr>
          <w:p w14:paraId="000000C5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Alternative</w:t>
            </w:r>
          </w:p>
        </w:tc>
        <w:tc>
          <w:tcPr>
            <w:shd w:fill="f3f3f3" w:val="clear"/>
            <w:vAlign w:val="center"/>
          </w:tcPr>
          <w:p w14:paraId="000000C6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Difference</w:t>
            </w:r>
          </w:p>
        </w:tc>
        <w:tc>
          <w:tcPr>
            <w:shd w:fill="f3f3f3" w:val="clear"/>
            <w:vAlign w:val="center"/>
          </w:tcPr>
          <w:p w14:paraId="000000C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Interpretation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C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 vs B assignments</w:t>
            </w:r>
          </w:p>
        </w:tc>
        <w:tc>
          <w:tcPr>
            <w:vAlign w:val="center"/>
          </w:tcPr>
          <w:p w14:paraId="000000C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vAlign w:val="center"/>
          </w:tcPr>
          <w:p w14:paraId="000000C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B</w:t>
            </w:r>
          </w:p>
        </w:tc>
        <w:tc>
          <w:tcPr>
            <w:vAlign w:val="center"/>
          </w:tcPr>
          <w:p w14:paraId="000000C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ARI 1.000</w:t>
            </w:r>
          </w:p>
        </w:tc>
        <w:tc>
          <w:tcPr>
            <w:vAlign w:val="center"/>
          </w:tcPr>
          <w:p w14:paraId="000000C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Identical structure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C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 vs C assignments</w:t>
            </w:r>
          </w:p>
        </w:tc>
        <w:tc>
          <w:tcPr>
            <w:vAlign w:val="center"/>
          </w:tcPr>
          <w:p w14:paraId="000000C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vAlign w:val="center"/>
          </w:tcPr>
          <w:p w14:paraId="000000C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vAlign w:val="center"/>
          </w:tcPr>
          <w:p w14:paraId="000000D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ARI 0.378</w:t>
            </w:r>
          </w:p>
        </w:tc>
        <w:tc>
          <w:tcPr>
            <w:vAlign w:val="center"/>
          </w:tcPr>
          <w:p w14:paraId="000000D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Material regrouping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D2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 vs C information</w:t>
            </w:r>
          </w:p>
        </w:tc>
        <w:tc>
          <w:tcPr>
            <w:vAlign w:val="center"/>
          </w:tcPr>
          <w:p w14:paraId="000000D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vAlign w:val="center"/>
          </w:tcPr>
          <w:p w14:paraId="000000D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vAlign w:val="center"/>
          </w:tcPr>
          <w:p w14:paraId="000000D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NMI 0.438</w:t>
            </w:r>
          </w:p>
        </w:tc>
        <w:tc>
          <w:tcPr>
            <w:vAlign w:val="center"/>
          </w:tcPr>
          <w:p w14:paraId="000000D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Partial overlap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D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Best evaluated k</w:t>
            </w:r>
          </w:p>
        </w:tc>
        <w:tc>
          <w:tcPr>
            <w:vAlign w:val="center"/>
          </w:tcPr>
          <w:p w14:paraId="000000D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 = 3</w:t>
            </w:r>
          </w:p>
        </w:tc>
        <w:tc>
          <w:tcPr>
            <w:vAlign w:val="center"/>
          </w:tcPr>
          <w:p w14:paraId="000000D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saved k = 5</w:t>
            </w:r>
          </w:p>
        </w:tc>
        <w:tc>
          <w:tcPr>
            <w:vAlign w:val="center"/>
          </w:tcPr>
          <w:p w14:paraId="000000D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Lower at k = 5</w:t>
            </w:r>
          </w:p>
        </w:tc>
        <w:tc>
          <w:tcPr>
            <w:vAlign w:val="center"/>
          </w:tcPr>
          <w:p w14:paraId="000000D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Revisit k choice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D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Feature breadth</w:t>
            </w:r>
          </w:p>
        </w:tc>
        <w:tc>
          <w:tcPr>
            <w:vAlign w:val="center"/>
          </w:tcPr>
          <w:p w14:paraId="000000D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192</w:t>
            </w:r>
          </w:p>
        </w:tc>
        <w:tc>
          <w:tcPr>
            <w:vAlign w:val="center"/>
          </w:tcPr>
          <w:p w14:paraId="000000D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384</w:t>
            </w:r>
          </w:p>
        </w:tc>
        <w:tc>
          <w:tcPr>
            <w:vAlign w:val="center"/>
          </w:tcPr>
          <w:p w14:paraId="000000D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+192</w:t>
            </w:r>
          </w:p>
        </w:tc>
        <w:tc>
          <w:tcPr>
            <w:vAlign w:val="center"/>
          </w:tcPr>
          <w:p w14:paraId="000000E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Received xT adds signal</w:t>
            </w:r>
          </w:p>
        </w:tc>
      </w:tr>
    </w:tbl>
    <w:p w14:paraId="000000E1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0E2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C materially regrouped rows relative to A and B (ARI = 0.378, NMI = 0.438), consistent with complementary information from received xT. However, k = 3 achieved the strongest silhouette among evaluated candidates, so the saved k = 5 solution should not be treated as settled.</w:t>
      </w:r>
    </w:p>
    <w:p w14:paraId="000000E3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E4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Data Quality and Limitations</w:t>
      </w:r>
    </w:p>
    <w:p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source is historical open data spanning competitions, seasons, and both men's and women's football; composition can influence clusters.</w:t>
      </w:r>
      <w:r>
        <w:rPr>
          <w:rtl w:val="0"/>
        </w:rPr>
      </w:r>
    </w:p>
    <w:p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Filtering retained 288 of 922 rows, favoring team-seasons with sufficient match coverage.</w:t>
      </w:r>
      <w:r>
        <w:rPr>
          <w:rtl w:val="0"/>
        </w:rPr>
      </w:r>
    </w:p>
    <w:p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final k = 5 configurations have low silhouette values and singleton clusters; k = 3 scored higher.</w:t>
      </w:r>
      <w:r>
        <w:rPr>
          <w:rtl w:val="0"/>
        </w:rPr>
      </w:r>
    </w:p>
    <w:p w14:paraId="000000E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completed multi-channel run detected created and received xT only, not every proposed pass, carry, and action-count channel.</w:t>
      </w:r>
      <w:r>
        <w:rPr>
          <w:rtl w:val="0"/>
        </w:rPr>
      </w:r>
    </w:p>
    <w:p w14:paraId="000000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xT profiles describe possession threat locations, not pressing, defensive structure, player availability, or current team strength.</w:t>
      </w:r>
      <w:r>
        <w:rPr>
          <w:rtl w:val="0"/>
        </w:rPr>
      </w:r>
    </w:p>
    <w:p w14:paraId="000000EA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These findings support an analytical baseline and a reproducible comparison workflow. They do not support causal tactical labels, live 2026 forecasts, or betting decisions.</w:t>
      </w:r>
    </w:p>
    <w:p w14:paraId="000000E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0EC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Interpretation</w:t>
      </w:r>
    </w:p>
    <w:p w14:paraId="000000ED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smoothing run did not alter the observed cluster structure, while the created-plus-received representation produced a different partition and improved two of three k = 5 diagnostics. This partially supports the richer-feature hypothesis but not a claim that C is definitively superior.</w:t>
      </w:r>
    </w:p>
    <w:p w14:paraId="000000EE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most defensible decision is to keep A as the interpretable reference, retain C as an exploratory extension, and withhold strong cluster labels until k selection, singleton handling, and stability checks are resolved. B requires verification before it adds evidence.</w:t>
      </w:r>
    </w:p>
    <w:p w14:paraId="000000EF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0F0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Decision Log</w:t>
      </w:r>
    </w:p>
    <w:p w14:paraId="000000F1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8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263"/>
        <w:gridCol w:w="7087"/>
        <w:tblGridChange w:id="0">
          <w:tblGrid>
            <w:gridCol w:w="2263"/>
            <w:gridCol w:w="7087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w14:paraId="000000F2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Item</w:t>
            </w:r>
          </w:p>
        </w:tc>
        <w:tc>
          <w:tcPr>
            <w:shd w:fill="f3f3f3" w:val="clear"/>
            <w:vAlign w:val="center"/>
          </w:tcPr>
          <w:p w14:paraId="000000F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Decision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Final Decision</w:t>
            </w:r>
          </w:p>
        </w:tc>
        <w:tc>
          <w:tcPr>
            <w:vAlign w:val="center"/>
          </w:tcPr>
          <w:p w14:paraId="000000F5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Keep A as baseline; retain C as exploratory; verify B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6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Date</w:t>
            </w:r>
          </w:p>
        </w:tc>
        <w:tc>
          <w:tcPr>
            <w:vAlign w:val="center"/>
          </w:tcPr>
          <w:p w14:paraId="000000F7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July 27, 2026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Approvers</w:t>
            </w:r>
          </w:p>
        </w:tc>
        <w:tc>
          <w:tcPr>
            <w:vAlign w:val="center"/>
          </w:tcPr>
          <w:p w14:paraId="000000F9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Project author; independent review recommended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A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Rollout Type</w:t>
            </w:r>
          </w:p>
        </w:tc>
        <w:tc>
          <w:tcPr>
            <w:vAlign w:val="center"/>
          </w:tcPr>
          <w:p w14:paraId="000000FB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Documentation and portfolio presentation only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Rollback Trigger</w:t>
            </w:r>
          </w:p>
        </w:tc>
        <w:tc>
          <w:tcPr>
            <w:vAlign w:val="center"/>
          </w:tcPr>
          <w:p w14:paraId="000000FD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Withhold strong labels while low separation or singletons persist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w14:paraId="000000F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Follow Up</w:t>
            </w:r>
          </w:p>
        </w:tc>
        <w:tc>
          <w:tcPr>
            <w:vAlign w:val="center"/>
          </w:tcPr>
          <w:p w14:paraId="000000FF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Test k = 3, stability, smoothing, and outlier sensitivity</w:t>
            </w:r>
          </w:p>
        </w:tc>
      </w:tr>
    </w:tbl>
    <w:p w14:paraId="00000100">
      <w:pPr>
        <w:rPr>
          <w:rFonts w:ascii="Georgia" w:cs="Georgia" w:eastAsia="Georgia" w:hAnsi="Georgia"/>
        </w:rPr>
      </w:pPr>
      <w:r>
        <w:rPr>
          <w:rtl w:val="0"/>
        </w:rPr>
      </w:r>
    </w:p>
    <w:p w14:paraId="0000010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Next Steps</w:t>
      </w:r>
    </w:p>
    <w:p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Compare k = 3 and k = 5 across repeated seeds.</w:t>
      </w:r>
      <w:r>
        <w:rPr>
          <w:rtl w:val="0"/>
        </w:rPr>
      </w:r>
    </w:p>
    <w:p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 Experiment B's smoothing input and transformation.</w:t>
      </w:r>
      <w:r>
        <w:rPr>
          <w:rtl w:val="0"/>
        </w:rPr>
      </w:r>
    </w:p>
    <w:p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singleton and minimum-match sensitivity.</w:t>
      </w:r>
      <w:r>
        <w:rPr>
          <w:rtl w:val="0"/>
        </w:rPr>
      </w:r>
    </w:p>
    <w:p w14:paraId="0000010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 cluster composition by competition, season, and gender.</w:t>
      </w:r>
      <w:r>
        <w:rPr>
          <w:rtl w:val="0"/>
        </w:rPr>
      </w:r>
    </w:p>
    <w:p w14:paraId="0000010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Preserve the build log, feature dictionary, artifact catalog, and limitations.</w:t>
      </w:r>
      <w:r>
        <w:rPr>
          <w:rtl w:val="0"/>
        </w:rPr>
      </w:r>
    </w:p>
    <w:p w14:paraId="00000107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w14:paraId="00000108">
      <w:pPr>
        <w:pStyle w:val="Heading1"/>
        <w:rPr>
          <w:rFonts w:ascii="Georgia" w:cs="Georgia" w:eastAsia="Georgia" w:hAnsi="Georgia"/>
        </w:rPr>
        <w:pageBreakBefore/>
      </w:pPr>
      <w:r>
        <w:rPr>
          <w:rFonts w:ascii="Georgia" w:cs="Georgia" w:eastAsia="Georgia" w:hAnsi="Georgia"/>
          <w:rtl w:val="0"/>
        </w:rPr>
        <w:t xml:space="preserve">Appendix A: Metric Definitions</w:t>
      </w:r>
    </w:p>
    <w:p w14:paraId="000001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Silhouette score: compares within-cluster cohesion with nearest-cluster separation; higher is better.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Calinski-Harabasz score: ratio of between-cluster to within-cluster dispersion; higher is better.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Davies-Bouldin score: average similarity between each cluster and its closest alternative; lower is better.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Adjusted Rand Index (ARI): chance-adjusted agreement between two assignments on the same rows; 1 is identical.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Normalized Mutual Information (NMI): normalized shared information between two assignment sets; 1 is identical.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10E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w14:paraId="0000010F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Appendix B: Analyst Notes</w:t>
      </w:r>
    </w:p>
    <w:p w14:paraId="000001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Methods: pandas and NumPy for data preparation; scikit-learn StandardScaler, PCA, and KMeans for modeling and diagnostics.</w:t>
      </w:r>
      <w:r>
        <w:rPr>
          <w:rtl w:val="0"/>
        </w:rPr>
      </w:r>
    </w:p>
    <w:p w14:paraId="000001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notebooks evaluate k = 3 through 10 but save k = 5 as the configured final model; no significance test or confidence interval was invented for these unsupervised scores.</w:t>
      </w:r>
      <w:r>
        <w:rPr>
          <w:rtl w:val="0"/>
        </w:rPr>
      </w:r>
    </w:p>
    <w:p w14:paraId="000001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numeric results in this report were read from saved experiment CSVs and the xT build log; no new model run was performed for this documentation update.</w:t>
      </w:r>
      <w:r>
        <w:rPr>
          <w:rtl w:val="0"/>
        </w:rPr>
      </w:r>
    </w:p>
    <w:p w14:paraId="000001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Provenance: local StatsBomb Open Data. The retained notebooks and generated outputs remain the source of record for calculation details.</w:t>
      </w:r>
      <w:r>
        <w:rPr>
          <w:rtl w:val="0"/>
        </w:rPr>
      </w:r>
    </w:p>
    <w:p w14:paraId="00000114">
      <w:pPr>
        <w:rPr>
          <w:rFonts w:ascii="Georgia" w:cs="Georgia" w:eastAsia="Georgia" w:hAnsi="Georgia"/>
        </w:rPr>
      </w:pPr>
      <w:r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116">
    <w:pPr>
      <w:rPr>
        <w:color w:val="002715"/>
      </w:rPr>
    </w:pPr>
    <w:r>
      <w:rPr>
        <w:rtl w:val="0"/>
      </w:rPr>
    </w:r>
  </w:p>
  <w:sdt>
    <w:sdtPr>
      <w:lock w:val="contentLocked"/>
      <w:id w:val="-913180812"/>
      <w:tag w:val="goog_rdk_0"/>
    </w:sdtPr>
    <w:sdtContent>
      <w:tbl>
        <w:tblPr>
          <w:tblStyle w:val="Table9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14:paraId="00000117">
              <w:pPr>
                <w:keepNext w:val="0"/>
                <w:keepLines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</w:pPr>
              <w:r>
                <w:rPr>
                  <w:rFonts w:ascii="Georgia" w:cs="Georgia" w:eastAsia="Georgia" w:hAnsi="Georgia"/>
                  <w:color w:val="105128"/>
                  <w:sz w:val="18"/>
                  <w:szCs w:val="18"/>
                  <w:rtl w:val="0"/>
                </w:rPr>
                <w:t xml:space="preserve">xT Report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14:paraId="00000118">
              <w:pPr>
                <w:keepNext w:val="0"/>
                <w:keepLines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</w:pPr>
              <w:r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  <w:fldChar w:fldCharType="begin"/>
                <w:instrText xml:space="preserve">PAGE</w:instrText>
                <w:fldChar w:fldCharType="separate"/>
                <w:fldChar w:fldCharType="end"/>
              </w:r>
              <w:r>
                <w:rPr>
                  <w:rtl w:val="0"/>
                </w:rPr>
              </w:r>
            </w:p>
          </w:tc>
        </w:tr>
      </w:tbl>
    </w:sdtContent>
  </w:sdt>
  <w:p w14:paraId="00000119">
    <w:pPr>
      <w:rPr>
        <w:color w:val="002715"/>
      </w:rPr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115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3" w:hanging="360"/>
      </w:pPr>
      <w:rPr/>
    </w:lvl>
    <w:lvl w:ilvl="1">
      <w:start w:val="1"/>
      <w:numFmt w:val="lowerLetter"/>
      <w:lvlText w:val="%2."/>
      <w:lvlJc w:val="left"/>
      <w:pPr>
        <w:ind w:left="1363" w:hanging="359.99999999999955"/>
      </w:pPr>
      <w:rPr/>
    </w:lvl>
    <w:lvl w:ilvl="2">
      <w:start w:val="1"/>
      <w:numFmt w:val="lowerRoman"/>
      <w:lvlText w:val="%3."/>
      <w:lvlJc w:val="right"/>
      <w:pPr>
        <w:ind w:left="2083" w:hanging="180"/>
      </w:pPr>
      <w:rPr/>
    </w:lvl>
    <w:lvl w:ilvl="3">
      <w:start w:val="1"/>
      <w:numFmt w:val="decimal"/>
      <w:lvlText w:val="%4."/>
      <w:lvlJc w:val="left"/>
      <w:pPr>
        <w:ind w:left="2803" w:hanging="360"/>
      </w:pPr>
      <w:rPr/>
    </w:lvl>
    <w:lvl w:ilvl="4">
      <w:start w:val="1"/>
      <w:numFmt w:val="lowerLetter"/>
      <w:lvlText w:val="%5."/>
      <w:lvlJc w:val="left"/>
      <w:pPr>
        <w:ind w:left="3523" w:hanging="360"/>
      </w:pPr>
      <w:rPr/>
    </w:lvl>
    <w:lvl w:ilvl="5">
      <w:start w:val="1"/>
      <w:numFmt w:val="lowerRoman"/>
      <w:lvlText w:val="%6."/>
      <w:lvlJc w:val="right"/>
      <w:pPr>
        <w:ind w:left="4243" w:hanging="180"/>
      </w:pPr>
      <w:rPr/>
    </w:lvl>
    <w:lvl w:ilvl="6">
      <w:start w:val="1"/>
      <w:numFmt w:val="decimal"/>
      <w:lvlText w:val="%7."/>
      <w:lvlJc w:val="left"/>
      <w:pPr>
        <w:ind w:left="4963" w:hanging="360"/>
      </w:pPr>
      <w:rPr/>
    </w:lvl>
    <w:lvl w:ilvl="7">
      <w:start w:val="1"/>
      <w:numFmt w:val="lowerLetter"/>
      <w:lvlText w:val="%8."/>
      <w:lvlJc w:val="left"/>
      <w:pPr>
        <w:ind w:left="5683" w:hanging="360"/>
      </w:pPr>
      <w:rPr/>
    </w:lvl>
    <w:lvl w:ilvl="8">
      <w:start w:val="1"/>
      <w:numFmt w:val="lowerRoman"/>
      <w:lvlText w:val="%9."/>
      <w:lvlJc w:val="right"/>
      <w:pPr>
        <w:ind w:left="6403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363" w:hanging="359.99999999999955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b w:val="1"/>
      <w:bCs w:val="1"/>
      <w:color w:val="1a703a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160" w:lineRule="auto"/>
      <w:jc w:val="center"/>
    </w:pPr>
    <w:rPr>
      <w:rFonts w:ascii="Georgia" w:cs="Georgia" w:eastAsia="Georgia" w:hAnsi="Georgia"/>
      <w:color w:val="592382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160" w:lineRule="auto"/>
      <w:jc w:val="center"/>
    </w:pPr>
    <w:rPr>
      <w:rFonts w:ascii="Georgia" w:cs="Georgia" w:eastAsia="Georgia" w:hAnsi="Georgia"/>
      <w:color w:val="592382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37233f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37233f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b w:val="1"/>
      <w:bCs w:val="1"/>
      <w:color w:val="4a2e5f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6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