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Heading2"/>
        <w:rPr>
          <w:color w:val="1a703a"/>
        </w:rPr>
      </w:pPr>
      <w:bookmarkStart w:colFirst="0" w:colLast="0" w:name="_heading=h.fuuxw87etzty" w:id="0"/>
      <w:bookmarkEnd w:id="0"/>
      <w:r>
        <w:rPr>
          <w:color w:val="1a703a"/>
          <w:rtl w:val="0"/>
        </w:rPr>
        <w:t xml:space="preserve">Experiment Report</w:t>
      </w:r>
    </w:p>
    <w:p w14:paraId="00000002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3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4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60250" y="3527350"/>
                          <a:ext cx="2563200" cy="33900"/>
                        </a:xfrm>
                        <a:prstGeom prst="rect">
                          <a:avLst/>
                        </a:prstGeom>
                        <a:solidFill>
                          <a:srgbClr val="1A703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164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5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6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7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Georgia" w:cs="Georgia" w:eastAsia="Georgia" w:hAnsi="Georgia"/>
          <w:color w:val="1a703a"/>
          <w:rtl w:val="0"/>
        </w:rPr>
        <w:t xml:space="preserve">Team-Season xT</w:t>
      </w:r>
    </w:p>
    <w:p w14:paraId="00000008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Georgia" w:cs="Georgia" w:eastAsia="Georgia" w:hAnsi="Georgia"/>
          <w:color w:val="1a703a"/>
          <w:rtl w:val="0"/>
        </w:rPr>
        <w:t xml:space="preserve">Clustering Analysis</w:t>
      </w:r>
    </w:p>
    <w:p w14:paraId="00000009">
      <w:pPr>
        <w:pStyle w:val="Heading3"/>
        <w:rPr>
          <w:color w:val="105128"/>
        </w:rPr>
      </w:pPr>
      <w:bookmarkStart w:colFirst="0" w:colLast="0" w:name="_heading=h.vj0y3v9ru4fn" w:id="1"/>
      <w:bookmarkEnd w:id="1"/>
      <w:r>
        <w:rPr>
          <w:rtl w:val="0"/>
        </w:rPr>
      </w:r>
    </w:p>
    <w:p w14:paraId="0000000A">
      <w:pPr>
        <w:pStyle w:val="Heading3"/>
        <w:rPr>
          <w:color w:val="105128"/>
        </w:rPr>
      </w:pPr>
      <w:bookmarkStart w:colFirst="0" w:colLast="0" w:name="_heading=h.r64a6lc0ytip" w:id="2"/>
      <w:bookmarkEnd w:id="2"/>
      <w:r>
        <w:rPr>
          <w:rtl w:val="0"/>
        </w:rPr>
      </w:r>
    </w:p>
    <w:p w14:paraId="0000000B">
      <w:pPr>
        <w:pStyle w:val="Heading3"/>
        <w:rPr>
          <w:color w:val="105128"/>
        </w:rPr>
      </w:pPr>
      <w:bookmarkStart w:colFirst="0" w:colLast="0" w:name="_heading=h.8n89tlutz5i6" w:id="3"/>
      <w:bookmarkEnd w:id="3"/>
      <w:r>
        <w:rPr>
          <w:rtl w:val="0"/>
        </w:rPr>
      </w:r>
    </w:p>
    <w:p w14:paraId="0000000C">
      <w:pPr>
        <w:pStyle w:val="Heading3"/>
        <w:rPr>
          <w:color w:val="053b22"/>
        </w:rPr>
      </w:pPr>
      <w:bookmarkStart w:colFirst="0" w:colLast="0" w:name="_heading=h.rnjlnh61vquq" w:id="4"/>
      <w:bookmarkEnd w:id="4"/>
      <w:r>
        <w:rPr>
          <w:rtl w:val="0"/>
        </w:rPr>
      </w:r>
    </w:p>
    <w:p w14:paraId="0000000D">
      <w:pPr>
        <w:rPr>
          <w:color w:val="002715"/>
        </w:rPr>
      </w:pPr>
      <w:r>
        <w:rPr>
          <w:rtl w:val="0"/>
        </w:rPr>
      </w:r>
    </w:p>
    <w:p w14:paraId="0000000E">
      <w:pPr>
        <w:rPr>
          <w:color w:val="002715"/>
        </w:rPr>
      </w:pPr>
      <w:r>
        <w:rPr>
          <w:rtl w:val="0"/>
        </w:rPr>
      </w:r>
    </w:p>
    <w:p w14:paraId="0000000F">
      <w:pPr>
        <w:rPr>
          <w:color w:val="002715"/>
        </w:rPr>
      </w:pPr>
      <w:r>
        <w:rPr>
          <w:rtl w:val="0"/>
        </w:rPr>
      </w:r>
    </w:p>
    <w:p w14:paraId="00000010">
      <w:pPr>
        <w:rPr>
          <w:color w:val="002715"/>
        </w:rPr>
      </w:pPr>
      <w:r>
        <w:rPr>
          <w:rtl w:val="0"/>
        </w:rPr>
      </w:r>
    </w:p>
    <w:p w14:paraId="00000011">
      <w:pPr>
        <w:rPr>
          <w:color w:val="002715"/>
        </w:rPr>
      </w:pPr>
      <w:r>
        <w:rPr>
          <w:rtl w:val="0"/>
        </w:rPr>
      </w:r>
    </w:p>
    <w:p w14:paraId="00000012">
      <w:pPr>
        <w:rPr>
          <w:color w:val="002715"/>
        </w:rPr>
      </w:pPr>
      <w:r>
        <w:rPr>
          <w:rtl w:val="0"/>
        </w:rPr>
      </w:r>
    </w:p>
    <w:p w14:paraId="00000013">
      <w:pPr>
        <w:rPr>
          <w:color w:val="002715"/>
        </w:rPr>
      </w:pPr>
      <w:r>
        <w:rPr>
          <w:rtl w:val="0"/>
        </w:rPr>
      </w:r>
    </w:p>
    <w:p w14:paraId="00000014">
      <w:pPr>
        <w:rPr>
          <w:color w:val="002715"/>
        </w:rPr>
      </w:pPr>
      <w:r>
        <w:rPr>
          <w:rtl w:val="0"/>
        </w:rPr>
      </w:r>
    </w:p>
    <w:p w14:paraId="00000015">
      <w:pPr>
        <w:rPr>
          <w:color w:val="002715"/>
        </w:rPr>
      </w:pPr>
      <w:r>
        <w:rPr>
          <w:rtl w:val="0"/>
        </w:rPr>
      </w:r>
    </w:p>
    <w:p w14:paraId="00000016">
      <w:pPr>
        <w:rPr>
          <w:color w:val="002715"/>
        </w:rPr>
      </w:pPr>
      <w:r>
        <w:rPr>
          <w:rtl w:val="0"/>
        </w:rPr>
      </w:r>
    </w:p>
    <w:p w14:paraId="00000017">
      <w:pPr>
        <w:rPr>
          <w:color w:val="434343"/>
        </w:rPr>
      </w:pPr>
      <w:r>
        <w:rPr>
          <w:rtl w:val="0"/>
        </w:rPr>
      </w:r>
    </w:p>
    <w:p w14:paraId="00000018">
      <w:pPr>
        <w:pStyle w:val="Heading3"/>
        <w:rPr>
          <w:color w:val="000000"/>
        </w:rPr>
      </w:pPr>
      <w:bookmarkStart w:colFirst="0" w:colLast="0" w:name="_heading=h.a28c2t63c20t" w:id="5"/>
      <w:bookmarkEnd w:id="5"/>
      <w:r>
        <w:rPr>
          <w:color w:val="000000"/>
          <w:rtl w:val="0"/>
        </w:rPr>
        <w:t xml:space="preserve">Project Repository Author</w:t>
      </w:r>
    </w:p>
    <w:p w14:paraId="00000019">
      <w:pPr>
        <w:pStyle w:val="Heading3"/>
        <w:rPr>
          <w:color w:val="000000"/>
        </w:rPr>
      </w:pPr>
      <w:bookmarkStart w:colFirst="0" w:colLast="0" w:name="_heading=h.io4lnv62zpnv" w:id="6"/>
      <w:bookmarkEnd w:id="6"/>
      <w:r>
        <w:rPr>
          <w:color w:val="000000"/>
          <w:rtl w:val="0"/>
        </w:rPr>
        <w:t xml:space="preserve">July 27, 2026</w:t>
      </w:r>
    </w:p>
    <w:p w14:paraId="0000001A">
      <w:pPr>
        <w:pStyle w:val="Heading3"/>
        <w:rPr>
          <w:color w:val="000000"/>
        </w:rPr>
      </w:pPr>
      <w:bookmarkStart w:colFirst="0" w:colLast="0" w:name="_heading=h.l0z5dez015hw" w:id="7"/>
      <w:bookmarkEnd w:id="7"/>
      <w:r>
        <w:br w:type="page"/>
      </w:r>
      <w:r>
        <w:rPr>
          <w:rtl w:val="0"/>
        </w:rPr>
      </w:r>
    </w:p>
    <w:p w14:paraId="0000001B">
      <w:pPr>
        <w:pStyle w:val="Heading1"/>
        <w:rPr/>
      </w:pPr>
      <w:r>
        <w:rPr>
          <w:rtl w:val="0"/>
        </w:rPr>
        <w:t xml:space="preserve">Document Control</w:t>
      </w:r>
    </w:p>
    <w:p w14:paraId="0000001C">
      <w:pPr>
        <w:rPr/>
      </w:pPr>
      <w:r>
        <w:rPr>
          <w:rtl w:val="0"/>
        </w:rPr>
      </w:r>
    </w:p>
    <w:tbl>
      <w:tblPr>
        <w:tblStyle w:val="Table1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405"/>
        <w:gridCol w:w="6945"/>
        <w:tblGridChange w:id="0">
          <w:tblGrid>
            <w:gridCol w:w="2405"/>
            <w:gridCol w:w="6945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1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Prepared By</w:t>
            </w:r>
          </w:p>
        </w:tc>
        <w:tc>
          <w:tcPr>
            <w:vAlign w:val="center"/>
          </w:tcPr>
          <w:p w14:paraId="0000002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Project repository author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2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Reviewers</w:t>
            </w:r>
          </w:p>
        </w:tc>
        <w:tc>
          <w:tcPr>
            <w:vAlign w:val="center"/>
          </w:tcPr>
          <w:p w14:paraId="0000002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Independent review not yet recorded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23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Date Prepared</w:t>
            </w:r>
          </w:p>
        </w:tc>
        <w:tc>
          <w:tcPr>
            <w:vAlign w:val="center"/>
          </w:tcPr>
          <w:p w14:paraId="0000002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July 27, 2026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2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Reporting Window</w:t>
            </w:r>
          </w:p>
        </w:tc>
        <w:tc>
          <w:tcPr>
            <w:vAlign w:val="center"/>
          </w:tcPr>
          <w:p w14:paraId="0000002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Recorded runs: July 8-18, 2026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2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vAlign w:val="center"/>
          </w:tcPr>
          <w:p w14:paraId="0000002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Final project report</w:t>
            </w:r>
          </w:p>
        </w:tc>
      </w:tr>
    </w:tbl>
    <w:p w14:paraId="00000029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2A">
      <w:pPr>
        <w:pStyle w:val="Heading1"/>
        <w:rPr/>
      </w:pPr>
      <w:r>
        <w:rPr>
          <w:rtl w:val="0"/>
        </w:rPr>
        <w:t xml:space="preserve">Purpose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This report records the objective, execution, evidence, and decision for the repository's team-season Expected Threat (xT) clustering experiments. It covers the shared data pipeline and Experiments A, B, and C; downstream match forecasts are outside the decision scope.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The record is maintained as an auditable companion to the notebooks and saved outputs. It gives reviewers a concise path from source data and validation rules to model diagnostics, limitations, and reproducible next steps.</w:t>
      </w:r>
    </w:p>
    <w:p w14:paraId="0000002D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2E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Project Context</w:t>
      </w:r>
    </w:p>
    <w:p w14:paraId="0000002F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Football event data contain millions of nested actions that are difficult to compare directly across teams and seasons. This project converts local StatsBomb JSON into a validated catalog of team-season spatial features so tactical patterns can be inspected quantitatively.</w:t>
      </w:r>
    </w:p>
    <w:p w14:paraId="00000030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Numerical 16 x 12 pitch matrices were selected because every feature maps to a known zone and avoids visual noise from heatmap rendering. A single global xT model keeps all team-seasons on a shared value scale.</w:t>
      </w:r>
    </w:p>
    <w:p w14:paraId="00000031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Experiment Summary</w:t>
      </w:r>
    </w:p>
    <w:p w14:paraId="00000032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Details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Experiment Name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Team-Season xT Tactical Clustering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Experiment Key</w:t>
            </w:r>
          </w:p>
        </w:tc>
        <w:tc>
          <w:tcPr>
            <w:vAlign w:val="center"/>
          </w:tcPr>
          <w:p w14:paraId="0000003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XT-CLUSTER-A-B-C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9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Owner Team</w:t>
            </w:r>
          </w:p>
        </w:tc>
        <w:tc>
          <w:tcPr>
            <w:vAlign w:val="center"/>
          </w:tcPr>
          <w:p w14:paraId="0000003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Independent portfolio project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Decision Owner</w:t>
            </w:r>
          </w:p>
        </w:tc>
        <w:tc>
          <w:tcPr>
            <w:vAlign w:val="center"/>
          </w:tcPr>
          <w:p w14:paraId="0000003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Project repository author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Analysis Surface</w:t>
            </w:r>
          </w:p>
        </w:tc>
        <w:tc>
          <w:tcPr>
            <w:vAlign w:val="center"/>
          </w:tcPr>
          <w:p w14:paraId="0000003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Jupyter notebooks and generated artifacts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Primary Objective</w:t>
            </w:r>
          </w:p>
        </w:tc>
        <w:tc>
          <w:tcPr>
            <w:vAlign w:val="center"/>
          </w:tcPr>
          <w:p w14:paraId="0000004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Compare spatial xT feature representations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Experiment A</w:t>
            </w:r>
          </w:p>
        </w:tc>
        <w:tc>
          <w:tcPr>
            <w:vAlign w:val="center"/>
          </w:tcPr>
          <w:p w14:paraId="0000004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192 raw created-xT start-zone features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3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Experiment B</w:t>
            </w:r>
          </w:p>
        </w:tc>
        <w:tc>
          <w:tcPr>
            <w:vAlign w:val="center"/>
          </w:tcPr>
          <w:p w14:paraId="0000004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192 recorded smoothed created-xT features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Extension C</w:t>
            </w:r>
          </w:p>
        </w:tc>
        <w:tc>
          <w:tcPr>
            <w:vAlign w:val="center"/>
          </w:tcPr>
          <w:p w14:paraId="0000004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384 created and received xT features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Unit of Analysis</w:t>
            </w:r>
          </w:p>
        </w:tc>
        <w:tc>
          <w:tcPr>
            <w:vAlign w:val="center"/>
          </w:tcPr>
          <w:p w14:paraId="0000004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One team in one season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9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Eligible Sample</w:t>
            </w:r>
          </w:p>
        </w:tc>
        <w:tc>
          <w:tcPr>
            <w:vAlign w:val="center"/>
          </w:tcPr>
          <w:p w14:paraId="0000004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Team-seasons meeting quality filters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Exclusions</w:t>
            </w:r>
          </w:p>
        </w:tc>
        <w:tc>
          <w:tcPr>
            <w:vAlign w:val="center"/>
          </w:tcPr>
          <w:p w14:paraId="0000004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Low match count, missing values, or zero feature sum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Build Date</w:t>
            </w:r>
          </w:p>
        </w:tc>
        <w:tc>
          <w:tcPr>
            <w:vAlign w:val="center"/>
          </w:tcPr>
          <w:p w14:paraId="0000004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July 8, 2026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Experiment Outputs</w:t>
            </w:r>
          </w:p>
        </w:tc>
        <w:tc>
          <w:tcPr>
            <w:vAlign w:val="center"/>
          </w:tcPr>
          <w:p w14:paraId="0000005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Recorded through July 14, 2026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5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Candidate k</w:t>
            </w:r>
          </w:p>
        </w:tc>
        <w:tc>
          <w:tcPr>
            <w:vAlign w:val="center"/>
          </w:tcPr>
          <w:p w14:paraId="0000005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3 through 10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53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Saved Configuration</w:t>
            </w:r>
          </w:p>
        </w:tc>
        <w:tc>
          <w:tcPr>
            <w:vAlign w:val="center"/>
          </w:tcPr>
          <w:p w14:paraId="0000005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k = 5 for cross-experiment comparison</w:t>
            </w:r>
          </w:p>
        </w:tc>
      </w:tr>
    </w:tbl>
    <w:p w14:paraId="00000055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56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Design Notes</w:t>
      </w:r>
    </w:p>
    <w:p w14:paraId="00000057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Experiment A is the raw created-xT baseline. Experiment B tests the recorded smoothed representation. Experiment C extends the feature space with received xT. The notebooks hold the filtered sample, scaling, PCA target, candidate k range, final k, and output contract constant where applicable.</w:t>
      </w:r>
    </w:p>
    <w:p w14:paraId="00000058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The unit of analysis is one team in one season. Rows below the match-count threshold are excluded before modeling. StandardScaler precedes PCA, PCA retains about 85% of variance, and KMeans candidates from k = 3 to 10 are evaluated with the same three internal metrics.</w:t>
      </w:r>
    </w:p>
    <w:p w14:paraId="00000059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5A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Hypothesis</w:t>
      </w:r>
    </w:p>
    <w:p w14:paraId="0000005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If smoothing reduces isolated zone noise, Experiment B should preserve broad structure while improving separation over A. If received xT adds complementary spatial information, Experiment C should change assignments and improve multiple separation diagnostics without sacrificing interpretability.</w:t>
      </w:r>
    </w:p>
    <w:p w14:paraId="0000005C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5D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Success Criteria</w:t>
      </w:r>
    </w:p>
    <w:p w14:paraId="0000005E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No single unsupervised score proves tactical validity. A representation is useful only when data checks pass, several diagnostics move coherently, clusters are not driven by isolated samples, and centroid or representative evidence supports cautious spatial descriptions.</w:t>
      </w:r>
    </w:p>
    <w:tbl>
      <w:tblPr>
        <w:tblStyle w:val="Table3"/>
        <w:tblW w:w="935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405"/>
        <w:gridCol w:w="6945"/>
        <w:tblGridChange w:id="0">
          <w:tblGrid>
            <w:gridCol w:w="2405"/>
            <w:gridCol w:w="6945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5F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Metric</w:t>
            </w:r>
          </w:p>
        </w:tc>
        <w:tc>
          <w:tcPr>
            <w:shd w:fill="f3f3f3" w:val="clear"/>
            <w:vAlign w:val="center"/>
          </w:tcPr>
          <w:p w14:paraId="00000060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Target / Rule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1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Separation</w:t>
            </w:r>
          </w:p>
        </w:tc>
        <w:tc>
          <w:tcPr>
            <w:vAlign w:val="center"/>
          </w:tcPr>
          <w:p w14:paraId="00000062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Higher silhouette and CH; lower DB than baseline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3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Stability</w:t>
            </w:r>
          </w:p>
        </w:tc>
        <w:tc>
          <w:tcPr>
            <w:vAlign w:val="center"/>
          </w:tcPr>
          <w:p w14:paraId="00000064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Use ARI and NMI on the same 288 samples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5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Data quality</w:t>
            </w:r>
          </w:p>
        </w:tc>
        <w:tc>
          <w:tcPr>
            <w:vAlign w:val="center"/>
          </w:tcPr>
          <w:p w14:paraId="00000066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 missing or zero-sum rows after filtering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7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Interpretability</w:t>
            </w:r>
          </w:p>
        </w:tc>
        <w:tc>
          <w:tcPr>
            <w:vAlign w:val="center"/>
          </w:tcPr>
          <w:p w14:paraId="00000068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Centroids and representatives support cautious descriptions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9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Decision rule</w:t>
            </w:r>
          </w:p>
        </w:tc>
        <w:tc>
          <w:tcPr>
            <w:vAlign w:val="center"/>
          </w:tcPr>
          <w:p w14:paraId="0000006A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Keep exploratory unless diagnostics and stability agree</w:t>
            </w:r>
          </w:p>
        </w:tc>
      </w:tr>
    </w:tbl>
    <w:p w14:paraId="0000006B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6C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Pre-Analysis Validation</w:t>
      </w:r>
    </w:p>
    <w:p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global xT model was used so all team-season rows share the same value scale.</w:t>
      </w:r>
      <w:r>
        <w:rPr>
          <w:rtl w:val="0"/>
        </w:rPr>
      </w:r>
    </w:p>
    <w:p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Experiments were compared on the same 288 eligible team-season rows.</w:t>
      </w:r>
      <w:r>
        <w:rPr>
          <w:rtl w:val="0"/>
        </w:rPr>
      </w:r>
    </w:p>
    <w:p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Post-filter feature matrices contained no missing values; one zero-sum row was removed.</w:t>
      </w:r>
      <w:r>
        <w:rPr>
          <w:rtl w:val="0"/>
        </w:rPr>
      </w:r>
    </w:p>
    <w:p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Candidate cluster counts from k = 3 through k = 10 were recorded with three diagnostics.</w:t>
      </w:r>
      <w:r>
        <w:rPr>
          <w:rtl w:val="0"/>
        </w:rPr>
      </w:r>
    </w:p>
    <w:p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Numeric matrices, rather than rendered heatmaps, were used as model inputs.</w:t>
      </w:r>
      <w:r>
        <w:rPr>
          <w:rtl w:val="0"/>
        </w:rPr>
      </w:r>
    </w:p>
    <w:p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right="0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73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Sample and Feature Summary</w:t>
      </w:r>
    </w:p>
    <w:p w14:paraId="00000074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The build produced 922 team-season rows. Quality filtering removed 633 rows below the match threshold and one zero-sum row, leaving 288 complete samples. Experiments A and B used 192 features; Experiment C used 384 created-and-received xT features.</w:t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823"/>
        <w:gridCol w:w="2693"/>
        <w:gridCol w:w="2834"/>
        <w:tblGridChange w:id="0">
          <w:tblGrid>
            <w:gridCol w:w="3823"/>
            <w:gridCol w:w="2693"/>
            <w:gridCol w:w="2834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7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Metric</w:t>
            </w:r>
          </w:p>
        </w:tc>
        <w:tc>
          <w:tcPr>
            <w:shd w:fill="f3f3f3" w:val="clear"/>
            <w:vAlign w:val="center"/>
          </w:tcPr>
          <w:p w14:paraId="0000007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Experiment A</w:t>
            </w:r>
          </w:p>
        </w:tc>
        <w:tc>
          <w:tcPr>
            <w:shd w:fill="f3f3f3" w:val="clear"/>
            <w:vAlign w:val="center"/>
          </w:tcPr>
          <w:p w14:paraId="0000007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Experiment B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Rows analyzed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288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288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7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Spatial features</w:t>
            </w:r>
          </w:p>
        </w:tc>
        <w:tc>
          <w:tcPr>
            <w:vAlign w:val="center"/>
          </w:tcPr>
          <w:p w14:paraId="0000007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192</w:t>
            </w:r>
          </w:p>
        </w:tc>
        <w:tc>
          <w:tcPr>
            <w:vAlign w:val="center"/>
          </w:tcPr>
          <w:p w14:paraId="0000007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192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7E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Final clusters</w:t>
            </w:r>
          </w:p>
        </w:tc>
        <w:tc>
          <w:tcPr>
            <w:vAlign w:val="center"/>
          </w:tcPr>
          <w:p w14:paraId="0000007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14:paraId="0000008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8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PCA components</w:t>
            </w:r>
          </w:p>
        </w:tc>
        <w:tc>
          <w:tcPr>
            <w:vAlign w:val="center"/>
          </w:tcPr>
          <w:p w14:paraId="0000008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vAlign w:val="center"/>
          </w:tcPr>
          <w:p w14:paraId="0000008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75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84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Quality check</w:t>
            </w:r>
          </w:p>
        </w:tc>
        <w:tc>
          <w:tcPr>
            <w:vAlign w:val="center"/>
          </w:tcPr>
          <w:p w14:paraId="0000008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 missing; pass</w:t>
            </w:r>
          </w:p>
        </w:tc>
        <w:tc>
          <w:tcPr>
            <w:vAlign w:val="center"/>
          </w:tcPr>
          <w:p w14:paraId="0000008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 missing; pass</w:t>
            </w:r>
          </w:p>
        </w:tc>
      </w:tr>
    </w:tbl>
    <w:p w14:paraId="00000087">
      <w:pPr>
        <w:spacing w:after="240" w:before="240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088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Primary Outcome</w:t>
      </w:r>
    </w:p>
    <w:p w14:paraId="00000089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5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8A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Measure</w:t>
            </w:r>
          </w:p>
        </w:tc>
        <w:tc>
          <w:tcPr>
            <w:shd w:fill="f3f3f3" w:val="clear"/>
            <w:vAlign w:val="center"/>
          </w:tcPr>
          <w:p w14:paraId="0000008B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Experiment A</w:t>
            </w:r>
          </w:p>
        </w:tc>
        <w:tc>
          <w:tcPr>
            <w:shd w:fill="f3f3f3" w:val="clear"/>
            <w:vAlign w:val="center"/>
          </w:tcPr>
          <w:p w14:paraId="0000008C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Experiment B</w:t>
            </w:r>
          </w:p>
        </w:tc>
        <w:tc>
          <w:tcPr>
            <w:shd w:fill="f3f3f3" w:val="clear"/>
            <w:vAlign w:val="center"/>
          </w:tcPr>
          <w:p w14:paraId="0000008D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Delta</w:t>
            </w:r>
          </w:p>
        </w:tc>
        <w:tc>
          <w:tcPr>
            <w:shd w:fill="f3f3f3" w:val="clear"/>
            <w:vAlign w:val="center"/>
          </w:tcPr>
          <w:p w14:paraId="0000008E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8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Silhouette (k=5)</w:t>
            </w:r>
          </w:p>
        </w:tc>
        <w:tc>
          <w:tcPr>
            <w:vAlign w:val="center"/>
          </w:tcPr>
          <w:p w14:paraId="0000009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0.0296</w:t>
            </w:r>
          </w:p>
        </w:tc>
        <w:tc>
          <w:tcPr>
            <w:vAlign w:val="center"/>
          </w:tcPr>
          <w:p w14:paraId="00000091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0.0296</w:t>
            </w:r>
          </w:p>
        </w:tc>
        <w:tc>
          <w:tcPr>
            <w:vAlign w:val="center"/>
          </w:tcPr>
          <w:p w14:paraId="0000009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+0.0000</w:t>
            </w:r>
          </w:p>
        </w:tc>
        <w:tc>
          <w:tcPr>
            <w:vAlign w:val="center"/>
          </w:tcPr>
          <w:p w14:paraId="0000009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 practical change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94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PCA variance</w:t>
            </w:r>
          </w:p>
        </w:tc>
        <w:tc>
          <w:tcPr>
            <w:vAlign w:val="center"/>
          </w:tcPr>
          <w:p w14:paraId="0000009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0.8527</w:t>
            </w:r>
          </w:p>
        </w:tc>
        <w:tc>
          <w:tcPr>
            <w:vAlign w:val="center"/>
          </w:tcPr>
          <w:p w14:paraId="0000009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0.8527</w:t>
            </w:r>
          </w:p>
        </w:tc>
        <w:tc>
          <w:tcPr>
            <w:vAlign w:val="center"/>
          </w:tcPr>
          <w:p w14:paraId="00000097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~0.0000</w:t>
            </w:r>
          </w:p>
        </w:tc>
        <w:tc>
          <w:tcPr>
            <w:vAlign w:val="center"/>
          </w:tcPr>
          <w:p w14:paraId="0000009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Equivalent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99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ARI / NMI</w:t>
            </w:r>
          </w:p>
        </w:tc>
        <w:tc>
          <w:tcPr>
            <w:vAlign w:val="center"/>
          </w:tcPr>
          <w:p w14:paraId="0000009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Reference</w:t>
            </w:r>
          </w:p>
        </w:tc>
        <w:tc>
          <w:tcPr>
            <w:vAlign w:val="center"/>
          </w:tcPr>
          <w:p w14:paraId="0000009B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1.000 / 1.000</w:t>
            </w:r>
          </w:p>
        </w:tc>
        <w:tc>
          <w:tcPr>
            <w:vAlign w:val="center"/>
          </w:tcPr>
          <w:p w14:paraId="0000009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Identical</w:t>
            </w:r>
          </w:p>
        </w:tc>
        <w:tc>
          <w:tcPr>
            <w:vAlign w:val="center"/>
          </w:tcPr>
          <w:p w14:paraId="0000009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 differentiation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9E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Outcome</w:t>
            </w:r>
          </w:p>
        </w:tc>
        <w:tc>
          <w:tcPr>
            <w:vAlign w:val="center"/>
          </w:tcPr>
          <w:p w14:paraId="0000009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Raw baseline</w:t>
            </w:r>
          </w:p>
        </w:tc>
        <w:tc>
          <w:tcPr>
            <w:vAlign w:val="center"/>
          </w:tcPr>
          <w:p w14:paraId="000000A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Smoothed run</w:t>
            </w:r>
          </w:p>
        </w:tc>
        <w:tc>
          <w:tcPr>
            <w:vAlign w:val="center"/>
          </w:tcPr>
          <w:p w14:paraId="000000A1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vAlign w:val="center"/>
          </w:tcPr>
          <w:p w14:paraId="000000A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Hypothesis not supported</w:t>
            </w:r>
          </w:p>
        </w:tc>
      </w:tr>
    </w:tbl>
    <w:p w14:paraId="000000A3">
      <w:pPr>
        <w:spacing w:after="240" w:before="240" w:lineRule="auto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Experiments A and B produced identical assignments on all 288 rows (ARI = 1.000, NMI = 1.000) and effectively identical k = 5 diagnostics. The recorded smoothing hypothesis is therefore not supported by this run.</w:t>
      </w:r>
    </w:p>
    <w:p w14:paraId="000000A4">
      <w:pPr>
        <w:spacing w:after="160" w:line="278.00000000000006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0A5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Quality Diagnostics</w:t>
      </w:r>
    </w:p>
    <w:p w14:paraId="000000A6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6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263"/>
        <w:gridCol w:w="1843"/>
        <w:gridCol w:w="1843"/>
        <w:gridCol w:w="1701"/>
        <w:gridCol w:w="1700"/>
        <w:tblGridChange w:id="0">
          <w:tblGrid>
            <w:gridCol w:w="2263"/>
            <w:gridCol w:w="1843"/>
            <w:gridCol w:w="1843"/>
            <w:gridCol w:w="1701"/>
            <w:gridCol w:w="170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A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Diagnostic</w:t>
            </w:r>
          </w:p>
        </w:tc>
        <w:tc>
          <w:tcPr>
            <w:shd w:fill="f3f3f3" w:val="clear"/>
            <w:vAlign w:val="center"/>
          </w:tcPr>
          <w:p w14:paraId="000000A8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Experiment A</w:t>
            </w:r>
          </w:p>
        </w:tc>
        <w:tc>
          <w:tcPr>
            <w:shd w:fill="f3f3f3" w:val="clear"/>
            <w:vAlign w:val="center"/>
          </w:tcPr>
          <w:p w14:paraId="000000A9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Experiment C</w:t>
            </w:r>
          </w:p>
        </w:tc>
        <w:tc>
          <w:tcPr>
            <w:shd w:fill="f3f3f3" w:val="clear"/>
            <w:vAlign w:val="center"/>
          </w:tcPr>
          <w:p w14:paraId="000000AA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Delta</w:t>
            </w:r>
          </w:p>
        </w:tc>
        <w:tc>
          <w:tcPr>
            <w:shd w:fill="f3f3f3" w:val="clear"/>
            <w:vAlign w:val="center"/>
          </w:tcPr>
          <w:p w14:paraId="000000AB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w14:paraId="000000AC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Silhouette (k=5)</w:t>
            </w:r>
          </w:p>
        </w:tc>
        <w:tc>
          <w:tcPr>
            <w:vAlign w:val="center"/>
          </w:tcPr>
          <w:p w14:paraId="000000A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0.0296</w:t>
            </w:r>
          </w:p>
        </w:tc>
        <w:tc>
          <w:tcPr>
            <w:vAlign w:val="center"/>
          </w:tcPr>
          <w:p w14:paraId="000000A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0.0436</w:t>
            </w:r>
          </w:p>
        </w:tc>
        <w:tc>
          <w:tcPr>
            <w:vAlign w:val="center"/>
          </w:tcPr>
          <w:p w14:paraId="000000A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+0.0140</w:t>
            </w:r>
          </w:p>
        </w:tc>
        <w:tc>
          <w:tcPr>
            <w:vAlign w:val="center"/>
          </w:tcPr>
          <w:p w14:paraId="000000B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Improved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w14:paraId="000000B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Calinski-Harabasz</w:t>
            </w:r>
          </w:p>
        </w:tc>
        <w:tc>
          <w:tcPr>
            <w:vAlign w:val="center"/>
          </w:tcPr>
          <w:p w14:paraId="000000B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10.2786</w:t>
            </w:r>
          </w:p>
        </w:tc>
        <w:tc>
          <w:tcPr>
            <w:vAlign w:val="center"/>
          </w:tcPr>
          <w:p w14:paraId="000000B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14.7739</w:t>
            </w:r>
          </w:p>
        </w:tc>
        <w:tc>
          <w:tcPr>
            <w:vAlign w:val="center"/>
          </w:tcPr>
          <w:p w14:paraId="000000B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+4.4953</w:t>
            </w:r>
          </w:p>
        </w:tc>
        <w:tc>
          <w:tcPr>
            <w:vAlign w:val="center"/>
          </w:tcPr>
          <w:p w14:paraId="000000B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Improved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w14:paraId="000000B6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Davies-Bouldin</w:t>
            </w:r>
          </w:p>
        </w:tc>
        <w:tc>
          <w:tcPr>
            <w:vAlign w:val="center"/>
          </w:tcPr>
          <w:p w14:paraId="000000B7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2.3701</w:t>
            </w:r>
          </w:p>
        </w:tc>
        <w:tc>
          <w:tcPr>
            <w:vAlign w:val="center"/>
          </w:tcPr>
          <w:p w14:paraId="000000B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2.4003</w:t>
            </w:r>
          </w:p>
        </w:tc>
        <w:tc>
          <w:tcPr>
            <w:vAlign w:val="center"/>
          </w:tcPr>
          <w:p w14:paraId="000000B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+0.0302</w:t>
            </w:r>
          </w:p>
        </w:tc>
        <w:tc>
          <w:tcPr>
            <w:vAlign w:val="center"/>
          </w:tcPr>
          <w:p w14:paraId="000000B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Worse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w14:paraId="000000B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Singleton clusters</w:t>
            </w:r>
          </w:p>
        </w:tc>
        <w:tc>
          <w:tcPr>
            <w:vAlign w:val="center"/>
          </w:tcPr>
          <w:p w14:paraId="000000B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14:paraId="000000B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14:paraId="000000B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-1</w:t>
            </w:r>
          </w:p>
        </w:tc>
        <w:tc>
          <w:tcPr>
            <w:vAlign w:val="center"/>
          </w:tcPr>
          <w:p w14:paraId="000000B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Caution remains</w:t>
            </w:r>
          </w:p>
        </w:tc>
      </w:tr>
    </w:tbl>
    <w:p w14:paraId="000000C0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Experiment C improved the k = 5 silhouette and Calinski-Harabasz scores, but its Davies-Bouldin score worsened slightly. One singleton cluster remained. The richer representation is informative, but evidence is mixed rather than conclusive.</w:t>
      </w:r>
    </w:p>
    <w:p w14:paraId="000000C1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Cross-Experiment Results</w:t>
      </w:r>
    </w:p>
    <w:p w14:paraId="000000C2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The comparisons are exploratory and use internal clustering diagnostics, not labeled tactical ground truth. ARI and NMI measure assignment agreement on the shared 288-row sample; they do not measure whether a cluster name is correct.</w:t>
      </w:r>
    </w:p>
    <w:tbl>
      <w:tblPr>
        <w:tblStyle w:val="Table7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C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Comparison</w:t>
            </w:r>
          </w:p>
        </w:tc>
        <w:tc>
          <w:tcPr>
            <w:shd w:fill="f3f3f3" w:val="clear"/>
            <w:vAlign w:val="center"/>
          </w:tcPr>
          <w:p w14:paraId="000000C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shd w:fill="f3f3f3" w:val="clear"/>
            <w:vAlign w:val="center"/>
          </w:tcPr>
          <w:p w14:paraId="000000C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Alternative</w:t>
            </w:r>
          </w:p>
        </w:tc>
        <w:tc>
          <w:tcPr>
            <w:shd w:fill="f3f3f3" w:val="clear"/>
            <w:vAlign w:val="center"/>
          </w:tcPr>
          <w:p w14:paraId="000000C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Difference</w:t>
            </w:r>
          </w:p>
        </w:tc>
        <w:tc>
          <w:tcPr>
            <w:shd w:fill="f3f3f3" w:val="clear"/>
            <w:vAlign w:val="center"/>
          </w:tcPr>
          <w:p w14:paraId="000000C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Interpretation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C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 vs B assignments</w:t>
            </w:r>
          </w:p>
        </w:tc>
        <w:tc>
          <w:tcPr>
            <w:vAlign w:val="center"/>
          </w:tcPr>
          <w:p w14:paraId="000000C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vAlign w:val="center"/>
          </w:tcPr>
          <w:p w14:paraId="000000C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vAlign w:val="center"/>
          </w:tcPr>
          <w:p w14:paraId="000000CB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ARI 1.000</w:t>
            </w:r>
          </w:p>
        </w:tc>
        <w:tc>
          <w:tcPr>
            <w:vAlign w:val="center"/>
          </w:tcPr>
          <w:p w14:paraId="000000C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Identical structure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C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 vs C assignments</w:t>
            </w:r>
          </w:p>
        </w:tc>
        <w:tc>
          <w:tcPr>
            <w:vAlign w:val="center"/>
          </w:tcPr>
          <w:p w14:paraId="000000C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vAlign w:val="center"/>
          </w:tcPr>
          <w:p w14:paraId="000000C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vAlign w:val="center"/>
          </w:tcPr>
          <w:p w14:paraId="000000D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ARI 0.378</w:t>
            </w:r>
          </w:p>
        </w:tc>
        <w:tc>
          <w:tcPr>
            <w:vAlign w:val="center"/>
          </w:tcPr>
          <w:p w14:paraId="000000D1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Material regrouping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D2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 vs C information</w:t>
            </w:r>
          </w:p>
        </w:tc>
        <w:tc>
          <w:tcPr>
            <w:vAlign w:val="center"/>
          </w:tcPr>
          <w:p w14:paraId="000000D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vAlign w:val="center"/>
          </w:tcPr>
          <w:p w14:paraId="000000D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vAlign w:val="center"/>
          </w:tcPr>
          <w:p w14:paraId="000000D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NMI 0.438</w:t>
            </w:r>
          </w:p>
        </w:tc>
        <w:tc>
          <w:tcPr>
            <w:vAlign w:val="center"/>
          </w:tcPr>
          <w:p w14:paraId="000000D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Partial overlap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D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Best evaluated k</w:t>
            </w:r>
          </w:p>
        </w:tc>
        <w:tc>
          <w:tcPr>
            <w:vAlign w:val="center"/>
          </w:tcPr>
          <w:p w14:paraId="000000D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k = 3</w:t>
            </w:r>
          </w:p>
        </w:tc>
        <w:tc>
          <w:tcPr>
            <w:vAlign w:val="center"/>
          </w:tcPr>
          <w:p w14:paraId="000000D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saved k = 5</w:t>
            </w:r>
          </w:p>
        </w:tc>
        <w:tc>
          <w:tcPr>
            <w:vAlign w:val="center"/>
          </w:tcPr>
          <w:p w14:paraId="000000D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Lower at k = 5</w:t>
            </w:r>
          </w:p>
        </w:tc>
        <w:tc>
          <w:tcPr>
            <w:vAlign w:val="center"/>
          </w:tcPr>
          <w:p w14:paraId="000000DB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Revisit k choice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DC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Feature breadth</w:t>
            </w:r>
          </w:p>
        </w:tc>
        <w:tc>
          <w:tcPr>
            <w:vAlign w:val="center"/>
          </w:tcPr>
          <w:p w14:paraId="000000D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192</w:t>
            </w:r>
          </w:p>
        </w:tc>
        <w:tc>
          <w:tcPr>
            <w:vAlign w:val="center"/>
          </w:tcPr>
          <w:p w14:paraId="000000D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384</w:t>
            </w:r>
          </w:p>
        </w:tc>
        <w:tc>
          <w:tcPr>
            <w:vAlign w:val="center"/>
          </w:tcPr>
          <w:p w14:paraId="000000D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+192</w:t>
            </w:r>
          </w:p>
        </w:tc>
        <w:tc>
          <w:tcPr>
            <w:vAlign w:val="center"/>
          </w:tcPr>
          <w:p w14:paraId="000000E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Received xT adds signal</w:t>
            </w:r>
          </w:p>
        </w:tc>
      </w:tr>
    </w:tbl>
    <w:p w14:paraId="000000E1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E2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C materially regrouped rows relative to A and B (ARI = 0.378, NMI = 0.438), consistent with complementary information from received xT. However, k = 3 achieved the strongest silhouette among evaluated candidates, so the saved k = 5 solution should not be treated as settled.</w:t>
      </w:r>
    </w:p>
    <w:p w14:paraId="000000E3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E4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Data Quality and Limitations</w:t>
      </w:r>
    </w:p>
    <w:p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source is historical open data spanning competitions, seasons, and both men's and women's football; composition can influence clusters.</w:t>
      </w:r>
      <w:r>
        <w:rPr>
          <w:rtl w:val="0"/>
        </w:rPr>
      </w:r>
    </w:p>
    <w:p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Filtering retained 288 of 922 rows, favoring team-seasons with sufficient match coverage.</w:t>
      </w:r>
      <w:r>
        <w:rPr>
          <w:rtl w:val="0"/>
        </w:rPr>
      </w:r>
    </w:p>
    <w:p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final k = 5 configurations have low silhouette values and singleton clusters; k = 3 scored higher.</w:t>
      </w:r>
      <w:r>
        <w:rPr>
          <w:rtl w:val="0"/>
        </w:rPr>
      </w:r>
    </w:p>
    <w:p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completed multi-channel run detected created and received xT only, not every proposed pass, carry, and action-count channel.</w:t>
      </w:r>
      <w:r>
        <w:rPr>
          <w:rtl w:val="0"/>
        </w:rPr>
      </w:r>
    </w:p>
    <w:p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xT profiles describe possession threat locations, not pressing, defensive structure, player availability, or current team strength.</w:t>
      </w:r>
      <w:r>
        <w:rPr>
          <w:rtl w:val="0"/>
        </w:rPr>
      </w:r>
    </w:p>
    <w:p w14:paraId="000000EA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These findings support an analytical baseline and a reproducible comparison workflow. They do not support causal tactical labels, live 2026 forecasts, or betting decisions.</w:t>
      </w:r>
    </w:p>
    <w:p w14:paraId="000000E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EC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Interpretation</w:t>
      </w:r>
    </w:p>
    <w:p w14:paraId="000000ED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The smoothing run did not alter the observed cluster structure, while the created-plus-received representation produced a different partition and improved two of three k = 5 diagnostics. This partially supports the richer-feature hypothesis but not a claim that C is definitively superior.</w:t>
      </w:r>
    </w:p>
    <w:p w14:paraId="000000EE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The most defensible decision is to keep A as the interpretable reference, retain C as an exploratory extension, and withhold strong cluster labels until k selection, singleton handling, and stability checks are resolved. B requires verification before it adds evidence.</w:t>
      </w:r>
    </w:p>
    <w:p w14:paraId="000000EF">
      <w:pPr>
        <w:spacing w:after="160" w:line="278.00000000000006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0F0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Decision Log</w:t>
      </w:r>
    </w:p>
    <w:p w14:paraId="000000F1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8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F2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Item</w:t>
            </w:r>
          </w:p>
        </w:tc>
        <w:tc>
          <w:tcPr>
            <w:shd w:fill="f3f3f3" w:val="clear"/>
            <w:vAlign w:val="center"/>
          </w:tcPr>
          <w:p w14:paraId="000000F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Decision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4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Final Decision</w:t>
            </w:r>
          </w:p>
        </w:tc>
        <w:tc>
          <w:tcPr>
            <w:vAlign w:val="center"/>
          </w:tcPr>
          <w:p w14:paraId="000000F5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Keep A as baseline; retain C as exploratory; verify B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6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Decision Date</w:t>
            </w:r>
          </w:p>
        </w:tc>
        <w:tc>
          <w:tcPr>
            <w:vAlign w:val="center"/>
          </w:tcPr>
          <w:p w14:paraId="000000F7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July 27, 2026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Approvers</w:t>
            </w:r>
          </w:p>
        </w:tc>
        <w:tc>
          <w:tcPr>
            <w:vAlign w:val="center"/>
          </w:tcPr>
          <w:p w14:paraId="000000F9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Project author; independent review recommended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A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Rollout Type</w:t>
            </w:r>
          </w:p>
        </w:tc>
        <w:tc>
          <w:tcPr>
            <w:vAlign w:val="center"/>
          </w:tcPr>
          <w:p w14:paraId="000000FB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Documentation and portfolio presentation only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C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Rollback Trigger</w:t>
            </w:r>
          </w:p>
        </w:tc>
        <w:tc>
          <w:tcPr>
            <w:vAlign w:val="center"/>
          </w:tcPr>
          <w:p w14:paraId="000000FD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Withhold strong labels while low separation or singletons persist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E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Follow Up</w:t>
            </w:r>
          </w:p>
        </w:tc>
        <w:tc>
          <w:tcPr>
            <w:vAlign w:val="center"/>
          </w:tcPr>
          <w:p w14:paraId="000000FF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Test k = 3, stability, smoothing, and outlier sensitivity</w:t>
            </w:r>
          </w:p>
        </w:tc>
      </w:tr>
    </w:tbl>
    <w:p w14:paraId="00000100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101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Next Steps</w:t>
      </w:r>
    </w:p>
    <w:p w14:paraId="000001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k = 3 and k = 5 across repeated seeds.</w:t>
      </w:r>
      <w:r>
        <w:rPr>
          <w:rtl w:val="0"/>
        </w:rPr>
      </w:r>
    </w:p>
    <w:p w14:paraId="000001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Experiment B's smoothing input and transformation.</w:t>
      </w:r>
      <w:r>
        <w:rPr>
          <w:rtl w:val="0"/>
        </w:rPr>
      </w:r>
    </w:p>
    <w:p w14:paraId="000001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singleton and minimum-match sensitivity.</w:t>
      </w:r>
      <w:r>
        <w:rPr>
          <w:rtl w:val="0"/>
        </w:rPr>
      </w:r>
    </w:p>
    <w:p w14:paraId="000001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cluster composition by competition, season, and gender.</w:t>
      </w:r>
      <w:r>
        <w:rPr>
          <w:rtl w:val="0"/>
        </w:rPr>
      </w:r>
    </w:p>
    <w:p w14:paraId="000001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Preserve the build log, feature dictionary, artifact catalog, and limitations.</w:t>
      </w:r>
      <w:r>
        <w:rPr>
          <w:rtl w:val="0"/>
        </w:rPr>
      </w:r>
    </w:p>
    <w:p w14:paraId="00000107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108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Appendix A: Metric Definitions</w:t>
      </w:r>
    </w:p>
    <w:p w14:paraId="000001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502" w:right="0" w:hanging="360"/>
        <w:jc w:val="both"/>
        <w:rPr/>
      </w:pPr>
      <w:r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Silhouette score: compares within-cluster cohesion with nearest-cluster separation; higher is better.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>
        <w:rPr>
          <w:rtl w:val="0"/>
        </w:rPr>
      </w:r>
    </w:p>
    <w:p w14:paraId="000001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/>
      </w:pPr>
      <w:r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Calinski-Harabasz score: ratio of between-cluster to within-cluster dispersion; higher is better.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>
        <w:rPr>
          <w:rtl w:val="0"/>
        </w:rPr>
      </w:r>
    </w:p>
    <w:p w14:paraId="000001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/>
      </w:pPr>
      <w:r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Davies-Bouldin score: average similarity between each cluster and its closest alternative; lower is better.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>
        <w:rPr>
          <w:rtl w:val="0"/>
        </w:rPr>
      </w:r>
    </w:p>
    <w:p w14:paraId="000001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/>
      </w:pPr>
      <w:r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Adjusted Rand Index (ARI): chance-adjusted agreement between two assignments on the same rows; 1 is identical.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>
        <w:rPr>
          <w:rtl w:val="0"/>
        </w:rPr>
      </w:r>
    </w:p>
    <w:p w14:paraId="000001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502" w:right="0" w:hanging="360"/>
        <w:jc w:val="both"/>
        <w:rPr/>
      </w:pPr>
      <w:r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Normalized Mutual Information (NMI): normalized shared information between two assignment sets; 1 is identical.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>
        <w:rPr>
          <w:rtl w:val="0"/>
        </w:rPr>
      </w:r>
    </w:p>
    <w:p w14:paraId="0000010E">
      <w:pPr>
        <w:spacing w:after="160" w:line="278.00000000000006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10F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Appendix B: Analyst Notes</w:t>
      </w:r>
    </w:p>
    <w:p w14:paraId="000001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Methods: pandas and NumPy for data preparation; scikit-learn StandardScaler, PCA, and KMeans for modeling and diagnostics.</w:t>
      </w:r>
      <w:r>
        <w:rPr>
          <w:rtl w:val="0"/>
        </w:rPr>
      </w:r>
    </w:p>
    <w:p w14:paraId="000001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notebooks evaluate k = 3 through 10 but save k = 5 as the configured final model; no significance test or confidence interval was invented for these unsupervised scores.</w:t>
      </w:r>
      <w:r>
        <w:rPr>
          <w:rtl w:val="0"/>
        </w:rPr>
      </w:r>
    </w:p>
    <w:p w14:paraId="000001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numeric results in this report were read from saved experiment CSVs and the xT build log; no new model run was performed for this documentation update.</w:t>
      </w:r>
      <w:r>
        <w:rPr>
          <w:rtl w:val="0"/>
        </w:rPr>
      </w:r>
    </w:p>
    <w:p w14:paraId="000001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Provenance: local StatsBomb Open Data. The retained notebooks and generated outputs remain the source of record for calculation details.</w:t>
      </w:r>
      <w:r>
        <w:rPr>
          <w:rtl w:val="0"/>
        </w:rPr>
      </w:r>
    </w:p>
    <w:p w14:paraId="00000114">
      <w:pPr>
        <w:rPr>
          <w:rFonts w:ascii="Georgia" w:cs="Georgia" w:eastAsia="Georgia" w:hAnsi="Georgia"/>
        </w:rPr>
      </w:pPr>
      <w:r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6">
    <w:pPr>
      <w:rPr>
        <w:color w:val="002715"/>
      </w:rPr>
    </w:pPr>
    <w:r>
      <w:rPr>
        <w:rtl w:val="0"/>
      </w:rPr>
    </w:r>
  </w:p>
  <w:sdt>
    <w:sdtPr>
      <w:lock w:val="contentLocked"/>
      <w:id w:val="-913180812"/>
      <w:tag w:val="goog_rdk_0"/>
    </w:sdtPr>
    <w:sdtContent>
      <w:tbl>
        <w:tblPr>
          <w:tblStyle w:val="Table9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  <w:rtl w:val="0"/>
                </w:rPr>
                <w:t xml:space="preserve">xT Report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>
                <w:rPr>
                  <w:rtl w:val="0"/>
                </w:rPr>
              </w:r>
            </w:p>
          </w:tc>
        </w:tr>
      </w:tbl>
    </w:sdtContent>
  </w:sdt>
  <w:p w14:paraId="00000119">
    <w:pPr>
      <w:rPr>
        <w:color w:val="002715"/>
      </w:rPr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5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b w:val="1"/>
      <w:bCs w:val="1"/>
      <w:color w:val="1a70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b w:val="1"/>
      <w:bCs w:val="1"/>
      <w:color w:val="4a2e5f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