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2"/>
        <w:rPr>
          <w:color w:val="1a703a"/>
        </w:rPr>
      </w:pPr>
      <w:bookmarkStart w:colFirst="0" w:colLast="0" w:name="_heading=h.fuuxw87etzty" w:id="0"/>
      <w:bookmarkEnd w:id="0"/>
      <w:r>
        <w:rPr>
          <w:color w:val="1a703a"/>
          <w:rtl w:val="0"/>
        </w:rPr>
        <w:t xml:space="preserve">Experiment Report</w:t>
      </w:r>
    </w:p>
    <w:p w14:paraId="00000002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</w:p>
    <w:p w14:paraId="00000003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</w:p>
    <w:p w14:paraId="00000004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  <w:r>
        <mc:AlternateContent>
          <mc:Choice Requires="wpg">
            <w:drawing>
              <wp:anchor allowOverlap="1" behindDoc="0" distB="228600" distT="228600" distL="228600" distR="228600" hidden="0" layoutInCell="1" locked="0" relativeHeight="0" simplePos="0">
                <wp:simplePos x="0" y="0"/>
                <wp:positionH relativeFrom="column">
                  <wp:posOffset>2600325</wp:posOffset>
                </wp:positionH>
                <wp:positionV relativeFrom="paragraph">
                  <wp:posOffset>352425</wp:posOffset>
                </wp:positionV>
                <wp:extent cx="742950" cy="16449"/>
                <wp:effectExtent b="0" l="0" r="0" t="0"/>
                <wp:wrapTopAndBottom distB="228600" distT="228600"/>
                <wp:docPr id="1" name="" descr="Decorative template element" title="Decorative template element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060250" y="3527350"/>
                          <a:ext cx="2563200" cy="33900"/>
                        </a:xfrm>
                        <a:prstGeom prst="rect">
                          <a:avLst/>
                        </a:prstGeom>
                        <a:solidFill>
                          <a:srgbClr val="1A703A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228600" distT="228600" distL="228600" distR="228600" hidden="0" layoutInCell="1" locked="0" relativeHeight="0" simplePos="0">
                <wp:simplePos x="0" y="0"/>
                <wp:positionH relativeFrom="column">
                  <wp:posOffset>2600325</wp:posOffset>
                </wp:positionH>
                <wp:positionV relativeFrom="paragraph">
                  <wp:posOffset>352425</wp:posOffset>
                </wp:positionV>
                <wp:extent cx="742950" cy="16449"/>
                <wp:effectExtent b="0" l="0" r="0" t="0"/>
                <wp:wrapTopAndBottom distB="228600" distT="228600"/>
                <wp:docPr id="1" name="image1.png" descr="Decorative template element" title="Decorative template element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2950" cy="1644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000005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</w:p>
    <w:p w14:paraId="00000006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</w:p>
    <w:p w14:paraId="00000007">
      <w:pPr>
        <w:pStyle w:val="Title"/>
        <w:rPr>
          <w:rFonts w:ascii="Georgia" w:cs="Georgia" w:eastAsia="Georgia" w:hAnsi="Georgia"/>
          <w:color w:val="1a703a"/>
        </w:rPr>
      </w:pPr>
      <w:r>
        <w:rPr>
          <w:rFonts w:ascii="Georgia" w:cs="Georgia" w:eastAsia="Georgia" w:hAnsi="Georgia"/>
          <w:color w:val="1a703a"/>
          <w:rtl w:val="0"/>
        </w:rPr>
        <w:t xml:space="preserve">Team-Season xT</w:t>
      </w:r>
    </w:p>
    <w:p w14:paraId="00000008">
      <w:pPr>
        <w:pStyle w:val="Title"/>
        <w:rPr>
          <w:rFonts w:ascii="Georgia" w:cs="Georgia" w:eastAsia="Georgia" w:hAnsi="Georgia"/>
          <w:color w:val="1a703a"/>
        </w:rPr>
      </w:pPr>
      <w:r>
        <w:rPr>
          <w:rFonts w:ascii="Georgia" w:cs="Georgia" w:eastAsia="Georgia" w:hAnsi="Georgia"/>
          <w:color w:val="1a703a"/>
          <w:rtl w:val="0"/>
        </w:rPr>
        <w:t xml:space="preserve">Clustering Analysis</w:t>
      </w:r>
    </w:p>
    <w:p w14:paraId="00000009">
      <w:pPr>
        <w:pStyle w:val="Heading3"/>
        <w:rPr>
          <w:color w:val="105128"/>
        </w:rPr>
      </w:pPr>
      <w:bookmarkStart w:colFirst="0" w:colLast="0" w:name="_heading=h.vj0y3v9ru4fn" w:id="1"/>
      <w:bookmarkEnd w:id="1"/>
      <w:r>
        <w:rPr>
          <w:rtl w:val="0"/>
        </w:rPr>
      </w:r>
    </w:p>
    <w:p w14:paraId="0000000A">
      <w:pPr>
        <w:pStyle w:val="Heading3"/>
        <w:rPr>
          <w:color w:val="105128"/>
        </w:rPr>
      </w:pPr>
      <w:bookmarkStart w:colFirst="0" w:colLast="0" w:name="_heading=h.r64a6lc0ytip" w:id="2"/>
      <w:bookmarkEnd w:id="2"/>
      <w:r>
        <w:rPr>
          <w:rtl w:val="0"/>
        </w:rPr>
      </w:r>
    </w:p>
    <w:p w14:paraId="0000000B">
      <w:pPr>
        <w:pStyle w:val="Heading3"/>
        <w:rPr>
          <w:color w:val="105128"/>
        </w:rPr>
      </w:pPr>
      <w:bookmarkStart w:colFirst="0" w:colLast="0" w:name="_heading=h.8n89tlutz5i6" w:id="3"/>
      <w:bookmarkEnd w:id="3"/>
      <w:r>
        <w:rPr>
          <w:rtl w:val="0"/>
        </w:rPr>
      </w:r>
    </w:p>
    <w:p w14:paraId="0000000C">
      <w:pPr>
        <w:pStyle w:val="Heading3"/>
        <w:rPr>
          <w:color w:val="053b22"/>
        </w:rPr>
      </w:pPr>
      <w:bookmarkStart w:colFirst="0" w:colLast="0" w:name="_heading=h.rnjlnh61vquq" w:id="4"/>
      <w:bookmarkEnd w:id="4"/>
      <w:r>
        <w:rPr>
          <w:rtl w:val="0"/>
        </w:rPr>
      </w:r>
    </w:p>
    <w:p w14:paraId="0000000D">
      <w:pPr>
        <w:rPr>
          <w:color w:val="002715"/>
        </w:rPr>
      </w:pPr>
      <w:r>
        <w:rPr>
          <w:rtl w:val="0"/>
        </w:rPr>
      </w:r>
    </w:p>
    <w:p w14:paraId="0000000E">
      <w:pPr>
        <w:rPr>
          <w:color w:val="002715"/>
        </w:rPr>
      </w:pPr>
      <w:r>
        <w:rPr>
          <w:rtl w:val="0"/>
        </w:rPr>
      </w:r>
    </w:p>
    <w:p w14:paraId="0000000F">
      <w:pPr>
        <w:rPr>
          <w:color w:val="002715"/>
        </w:rPr>
      </w:pPr>
      <w:r>
        <w:rPr>
          <w:rtl w:val="0"/>
        </w:rPr>
      </w:r>
    </w:p>
    <w:p w14:paraId="00000010">
      <w:pPr>
        <w:rPr>
          <w:color w:val="002715"/>
        </w:rPr>
      </w:pPr>
      <w:r>
        <w:rPr>
          <w:rtl w:val="0"/>
        </w:rPr>
      </w:r>
    </w:p>
    <w:p w14:paraId="00000011">
      <w:pPr>
        <w:rPr>
          <w:color w:val="002715"/>
        </w:rPr>
      </w:pPr>
      <w:r>
        <w:rPr>
          <w:rtl w:val="0"/>
        </w:rPr>
      </w:r>
    </w:p>
    <w:p w14:paraId="00000012">
      <w:pPr>
        <w:rPr>
          <w:color w:val="002715"/>
        </w:rPr>
      </w:pPr>
      <w:r>
        <w:rPr>
          <w:rtl w:val="0"/>
        </w:rPr>
      </w:r>
    </w:p>
    <w:p w14:paraId="00000013">
      <w:pPr>
        <w:rPr>
          <w:color w:val="002715"/>
        </w:rPr>
      </w:pPr>
      <w:r>
        <w:rPr>
          <w:rtl w:val="0"/>
        </w:rPr>
      </w:r>
    </w:p>
    <w:p w14:paraId="00000014">
      <w:pPr>
        <w:rPr>
          <w:color w:val="002715"/>
        </w:rPr>
      </w:pPr>
      <w:r>
        <w:rPr>
          <w:rtl w:val="0"/>
        </w:rPr>
      </w:r>
    </w:p>
    <w:p w14:paraId="00000015">
      <w:pPr>
        <w:rPr>
          <w:color w:val="002715"/>
        </w:rPr>
      </w:pPr>
      <w:r>
        <w:rPr>
          <w:rtl w:val="0"/>
        </w:rPr>
      </w:r>
    </w:p>
    <w:p w14:paraId="00000016">
      <w:pPr>
        <w:rPr>
          <w:color w:val="002715"/>
        </w:rPr>
      </w:pPr>
      <w:r>
        <w:rPr>
          <w:rtl w:val="0"/>
        </w:rPr>
      </w:r>
    </w:p>
    <w:p w14:paraId="00000017">
      <w:pPr>
        <w:rPr>
          <w:color w:val="434343"/>
        </w:rPr>
      </w:pPr>
      <w:r>
        <w:rPr>
          <w:rtl w:val="0"/>
        </w:rPr>
      </w:r>
    </w:p>
    <w:p w14:paraId="00000018">
      <w:pPr>
        <w:pStyle w:val="Heading3"/>
        <w:rPr>
          <w:color w:val="000000"/>
        </w:rPr>
      </w:pPr>
      <w:bookmarkStart w:colFirst="0" w:colLast="0" w:name="_heading=h.a28c2t63c20t" w:id="5"/>
      <w:bookmarkEnd w:id="5"/>
      <w:r>
        <w:rPr>
          <w:color w:val="000000"/>
          <w:rtl w:val="0"/>
        </w:rPr>
        <w:t xml:space="preserve">Project Repository Author</w:t>
      </w:r>
    </w:p>
    <w:p w14:paraId="00000019">
      <w:pPr>
        <w:pStyle w:val="Heading3"/>
        <w:rPr>
          <w:color w:val="000000"/>
        </w:rPr>
      </w:pPr>
      <w:bookmarkStart w:colFirst="0" w:colLast="0" w:name="_heading=h.io4lnv62zpnv" w:id="6"/>
      <w:bookmarkEnd w:id="6"/>
      <w:r>
        <w:rPr>
          <w:color w:val="000000"/>
          <w:rtl w:val="0"/>
        </w:rPr>
        <w:t xml:space="preserve">July 27, 2026</w:t>
      </w:r>
    </w:p>
    <w:p w14:paraId="0000001A">
      <w:pPr>
        <w:pStyle w:val="Heading3"/>
        <w:rPr>
          <w:color w:val="000000"/>
        </w:rPr>
      </w:pPr>
      <w:bookmarkStart w:colFirst="0" w:colLast="0" w:name="_heading=h.l0z5dez015hw" w:id="7"/>
      <w:bookmarkEnd w:id="7"/>
      <w:r>
        <w:br w:type="page"/>
      </w:r>
      <w:r>
        <w:rPr>
          <w:rtl w:val="0"/>
        </w:rPr>
      </w:r>
    </w:p>
    <w:p w14:paraId="0000001B">
      <w:pPr>
        <w:pStyle w:val="Heading1"/>
        <w:rPr/>
      </w:pPr>
      <w:r>
        <w:rPr>
          <w:rtl w:val="0"/>
        </w:rPr>
        <w:t xml:space="preserve">Document Control</w:t>
      </w:r>
    </w:p>
    <w:p w14:paraId="0000001C">
      <w:pPr>
        <w:rPr/>
      </w:pPr>
      <w:r>
        <w:rPr>
          <w:rtl w:val="0"/>
        </w:rPr>
      </w:r>
    </w:p>
    <w:tbl>
      <w:tblPr>
        <w:tblStyle w:val="Table1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405"/>
        <w:gridCol w:w="6945"/>
        <w:tblGridChange w:id="0">
          <w:tblGrid>
            <w:gridCol w:w="2405"/>
            <w:gridCol w:w="6945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1D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Version</w:t>
            </w:r>
          </w:p>
        </w:tc>
        <w:tc>
          <w:tcPr>
            <w:vAlign w:val="center"/>
          </w:tcPr>
          <w:p w14:paraId="0000001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1F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Prepared By</w:t>
            </w:r>
          </w:p>
        </w:tc>
        <w:tc>
          <w:tcPr>
            <w:vAlign w:val="center"/>
          </w:tcPr>
          <w:p w14:paraId="0000002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Project repository author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2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Reviewers</w:t>
            </w:r>
          </w:p>
        </w:tc>
        <w:tc>
          <w:tcPr>
            <w:vAlign w:val="center"/>
          </w:tcPr>
          <w:p w14:paraId="0000002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Independent review not yet recorded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23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Date Prepared</w:t>
            </w:r>
          </w:p>
        </w:tc>
        <w:tc>
          <w:tcPr>
            <w:vAlign w:val="center"/>
          </w:tcPr>
          <w:p w14:paraId="0000002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July 27, 2026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25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Reporting Window</w:t>
            </w:r>
          </w:p>
        </w:tc>
        <w:tc>
          <w:tcPr>
            <w:vAlign w:val="center"/>
          </w:tcPr>
          <w:p w14:paraId="0000002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Recorded runs: July 8-18, 2026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27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vAlign w:val="center"/>
          </w:tcPr>
          <w:p w14:paraId="0000002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Final project report</w:t>
            </w:r>
          </w:p>
        </w:tc>
      </w:tr>
    </w:tbl>
    <w:p w14:paraId="00000029">
      <w:pPr>
        <w:rPr>
          <w:rFonts w:ascii="Georgia" w:cs="Georgia" w:eastAsia="Georgia" w:hAnsi="Georgia"/>
        </w:rPr>
      </w:pPr>
      <w:r>
        <w:rPr>
          <w:rtl w:val="0"/>
        </w:rPr>
      </w:r>
    </w:p>
    <w:p w14:paraId="0000002A">
      <w:pPr>
        <w:pStyle w:val="Heading1"/>
        <w:rPr/>
      </w:pPr>
      <w:r>
        <w:rPr>
          <w:rtl w:val="0"/>
        </w:rPr>
        <w:t xml:space="preserve">Purpose</w:t>
      </w:r>
    </w:p>
    <w:p w14:paraId="0000002B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This report records the objective, execution, evidence, and decision for the repository's team-season Expected Threat (xT) clustering experiments. It covers the shared data pipeline and Experiments A, B, and C; downstream match forecasts are outside the decision scope.</w:t>
      </w:r>
    </w:p>
    <w:p w14:paraId="0000002C">
      <w:pPr>
        <w:spacing w:after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record is maintained as an auditable companion to the notebooks and saved outputs. It gives reviewers a concise path from source data and validation rules to model diagnostics, limitations, and reproducible next steps.</w:t>
      </w:r>
    </w:p>
    <w:p w14:paraId="0000002D">
      <w:pPr>
        <w:spacing w:after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02E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Project Context</w:t>
      </w:r>
    </w:p>
    <w:p w14:paraId="0000002F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Football event data contain millions of nested actions that are difficult to compare directly across teams and seasons. This project converts local StatsBomb JSON into a validated catalog of team-season spatial features so tactical patterns can be inspected quantitatively.</w:t>
      </w:r>
    </w:p>
    <w:p w14:paraId="00000030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Numerical 16 x 12 pitch matrices were selected because every feature maps to a known zone and avoids visual noise from heatmap rendering. A single global xT model keeps all team-seasons on a shared value scale.</w:t>
      </w:r>
    </w:p>
    <w:p w14:paraId="00000031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Experiment Summary</w:t>
      </w:r>
    </w:p>
    <w:p w14:paraId="00000032">
      <w:pPr>
        <w:rPr>
          <w:rFonts w:ascii="Georgia" w:cs="Georgia" w:eastAsia="Georgia" w:hAnsi="Georgia"/>
        </w:rPr>
      </w:pPr>
      <w:r>
        <w:rPr>
          <w:rtl w:val="0"/>
        </w:rPr>
      </w:r>
    </w:p>
    <w:tbl>
      <w:tblPr>
        <w:tblStyle w:val="Table2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547"/>
        <w:gridCol w:w="6803"/>
        <w:tblGridChange w:id="0">
          <w:tblGrid>
            <w:gridCol w:w="2547"/>
            <w:gridCol w:w="6803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33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Field</w:t>
            </w:r>
          </w:p>
        </w:tc>
        <w:tc>
          <w:tcPr>
            <w:shd w:fill="f3f3f3" w:val="clear"/>
            <w:vAlign w:val="center"/>
          </w:tcPr>
          <w:p w14:paraId="00000034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Details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35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Experiment Name</w:t>
            </w:r>
          </w:p>
        </w:tc>
        <w:tc>
          <w:tcPr>
            <w:vAlign w:val="center"/>
          </w:tcPr>
          <w:p w14:paraId="0000003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Team-Season xT Tactical Clustering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37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Experiment Key</w:t>
            </w:r>
          </w:p>
        </w:tc>
        <w:tc>
          <w:tcPr>
            <w:vAlign w:val="center"/>
          </w:tcPr>
          <w:p w14:paraId="0000003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XT-CLUSTER-A-B-C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39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Owner Team</w:t>
            </w:r>
          </w:p>
        </w:tc>
        <w:tc>
          <w:tcPr>
            <w:vAlign w:val="center"/>
          </w:tcPr>
          <w:p w14:paraId="0000003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Independent portfolio project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3B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Decision Owner</w:t>
            </w:r>
          </w:p>
        </w:tc>
        <w:tc>
          <w:tcPr>
            <w:vAlign w:val="center"/>
          </w:tcPr>
          <w:p w14:paraId="0000003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Project repository author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3D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Analysis Surface</w:t>
            </w:r>
          </w:p>
        </w:tc>
        <w:tc>
          <w:tcPr>
            <w:vAlign w:val="center"/>
          </w:tcPr>
          <w:p w14:paraId="0000003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Jupyter notebooks and generated artifacts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3F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Primary Objective</w:t>
            </w:r>
          </w:p>
        </w:tc>
        <w:tc>
          <w:tcPr>
            <w:vAlign w:val="center"/>
          </w:tcPr>
          <w:p w14:paraId="0000004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Compare spatial xT feature representations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Experiment A</w:t>
            </w:r>
          </w:p>
        </w:tc>
        <w:tc>
          <w:tcPr>
            <w:vAlign w:val="center"/>
          </w:tcPr>
          <w:p w14:paraId="0000004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192 raw created-xT start-zone features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3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Experiment B</w:t>
            </w:r>
          </w:p>
        </w:tc>
        <w:tc>
          <w:tcPr>
            <w:vAlign w:val="center"/>
          </w:tcPr>
          <w:p w14:paraId="0000004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192 recorded smoothed created-xT features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5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Extension C</w:t>
            </w:r>
          </w:p>
        </w:tc>
        <w:tc>
          <w:tcPr>
            <w:vAlign w:val="center"/>
          </w:tcPr>
          <w:p w14:paraId="0000004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384 created and received xT features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7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Unit of Analysis</w:t>
            </w:r>
          </w:p>
        </w:tc>
        <w:tc>
          <w:tcPr>
            <w:vAlign w:val="center"/>
          </w:tcPr>
          <w:p w14:paraId="0000004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One team in one season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9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Eligible Sample</w:t>
            </w:r>
          </w:p>
        </w:tc>
        <w:tc>
          <w:tcPr>
            <w:vAlign w:val="center"/>
          </w:tcPr>
          <w:p w14:paraId="0000004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Team-seasons meeting quality filters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B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Exclusions</w:t>
            </w:r>
          </w:p>
        </w:tc>
        <w:tc>
          <w:tcPr>
            <w:vAlign w:val="center"/>
          </w:tcPr>
          <w:p w14:paraId="0000004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Low match count, missing values, or zero feature sum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D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Build Date</w:t>
            </w:r>
          </w:p>
        </w:tc>
        <w:tc>
          <w:tcPr>
            <w:vAlign w:val="center"/>
          </w:tcPr>
          <w:p w14:paraId="0000004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July 8, 2026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F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Experiment Outputs</w:t>
            </w:r>
          </w:p>
        </w:tc>
        <w:tc>
          <w:tcPr>
            <w:vAlign w:val="center"/>
          </w:tcPr>
          <w:p w14:paraId="0000005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Recorded through July 14, 2026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5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Candidate k</w:t>
            </w:r>
          </w:p>
        </w:tc>
        <w:tc>
          <w:tcPr>
            <w:vAlign w:val="center"/>
          </w:tcPr>
          <w:p w14:paraId="0000005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3 through 10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53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Saved Configuration</w:t>
            </w:r>
          </w:p>
        </w:tc>
        <w:tc>
          <w:tcPr>
            <w:vAlign w:val="center"/>
          </w:tcPr>
          <w:p w14:paraId="0000005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k = 5 for cross-experiment comparison</w:t>
            </w:r>
          </w:p>
        </w:tc>
      </w:tr>
    </w:tbl>
    <w:p w14:paraId="00000055">
      <w:pPr>
        <w:rPr>
          <w:rFonts w:ascii="Georgia" w:cs="Georgia" w:eastAsia="Georgia" w:hAnsi="Georgia"/>
        </w:rPr>
      </w:pPr>
      <w:r>
        <w:rPr>
          <w:rtl w:val="0"/>
        </w:rPr>
      </w:r>
    </w:p>
    <w:p w14:paraId="00000056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Design Notes</w:t>
      </w:r>
    </w:p>
    <w:p w14:paraId="00000057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Experiment A is the raw created-xT baseline. Experiment B tests the recorded smoothed representation. Experiment C extends the feature space with received xT. The notebooks hold the filtered sample, scaling, PCA target, candidate k range, final k, and output contract constant where applicable.</w:t>
      </w:r>
    </w:p>
    <w:p w14:paraId="00000058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unit of analysis is one team in one season. Rows below the match-count threshold are excluded before modeling. StandardScaler precedes PCA, PCA retains about 85% of variance, and KMeans candidates from k = 3 to 10 are evaluated with the same three internal metrics.</w:t>
      </w:r>
    </w:p>
    <w:p w14:paraId="00000059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05A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Hypothesis</w:t>
      </w:r>
    </w:p>
    <w:p w14:paraId="0000005B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If smoothing reduces isolated zone noise, Experiment B should preserve broad structure while improving separation over A. If received xT adds complementary spatial information, Experiment C should change assignments and improve multiple separation diagnostics without sacrificing interpretability.</w:t>
      </w:r>
    </w:p>
    <w:p w14:paraId="0000005C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05D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Success Criteria</w:t>
      </w:r>
    </w:p>
    <w:p w14:paraId="0000005E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No single unsupervised score proves tactical validity. A representation is useful only when data checks pass, several diagnostics move coherently, clusters are not driven by isolated samples, and centroid or representative evidence supports cautious spatial descriptions.</w:t>
      </w:r>
    </w:p>
    <w:tbl>
      <w:tblPr>
        <w:tblStyle w:val="Table3"/>
        <w:tblW w:w="9350.0" w:type="dxa"/>
        <w:jc w:val="center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405"/>
        <w:gridCol w:w="6945"/>
        <w:tblGridChange w:id="0">
          <w:tblGrid>
            <w:gridCol w:w="2405"/>
            <w:gridCol w:w="6945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5F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Metric</w:t>
            </w:r>
          </w:p>
        </w:tc>
        <w:tc>
          <w:tcPr>
            <w:shd w:fill="f3f3f3" w:val="clear"/>
            <w:vAlign w:val="center"/>
          </w:tcPr>
          <w:p w14:paraId="00000060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Target / Rule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61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Separation</w:t>
            </w:r>
          </w:p>
        </w:tc>
        <w:tc>
          <w:tcPr>
            <w:vAlign w:val="center"/>
          </w:tcPr>
          <w:p w14:paraId="00000062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Higher silhouette and CH; lower DB than baseline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63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Stability</w:t>
            </w:r>
          </w:p>
        </w:tc>
        <w:tc>
          <w:tcPr>
            <w:vAlign w:val="center"/>
          </w:tcPr>
          <w:p w14:paraId="00000064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Use ARI and NMI on the same 288 samples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65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Data quality</w:t>
            </w:r>
          </w:p>
        </w:tc>
        <w:tc>
          <w:tcPr>
            <w:vAlign w:val="center"/>
          </w:tcPr>
          <w:p w14:paraId="00000066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 missing or zero-sum rows after filtering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67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Interpretability</w:t>
            </w:r>
          </w:p>
        </w:tc>
        <w:tc>
          <w:tcPr>
            <w:vAlign w:val="center"/>
          </w:tcPr>
          <w:p w14:paraId="00000068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Centroids and representatives support cautious descriptions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69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Decision rule</w:t>
            </w:r>
          </w:p>
        </w:tc>
        <w:tc>
          <w:tcPr>
            <w:vAlign w:val="center"/>
          </w:tcPr>
          <w:p w14:paraId="0000006A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Keep exploratory unless diagnostics and stability agree</w:t>
            </w:r>
          </w:p>
        </w:tc>
      </w:tr>
    </w:tbl>
    <w:p w14:paraId="0000006B">
      <w:pPr>
        <w:rPr>
          <w:rFonts w:ascii="Georgia" w:cs="Georgia" w:eastAsia="Georgia" w:hAnsi="Georgia"/>
        </w:rPr>
      </w:pPr>
      <w:r>
        <w:rPr>
          <w:rtl w:val="0"/>
        </w:rPr>
      </w:r>
    </w:p>
    <w:p w14:paraId="0000006C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Pre-Analysis Validation</w:t>
      </w:r>
    </w:p>
    <w:p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One global xT model was used so all team-season rows share the same value scale.</w:t>
      </w:r>
      <w:r>
        <w:rPr>
          <w:rtl w:val="0"/>
        </w:rPr>
      </w:r>
    </w:p>
    <w:p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Experiments were compared on the same 288 eligible team-season rows.</w:t>
      </w:r>
      <w:r>
        <w:rPr>
          <w:rtl w:val="0"/>
        </w:rPr>
      </w:r>
    </w:p>
    <w:p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Post-filter feature matrices contained no missing values; one zero-sum row was removed.</w:t>
      </w:r>
      <w:r>
        <w:rPr>
          <w:rtl w:val="0"/>
        </w:rPr>
      </w:r>
    </w:p>
    <w:p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Candidate cluster counts from k = 3 through k = 10 were recorded with three diagnostics.</w:t>
      </w:r>
      <w:r>
        <w:rPr>
          <w:rtl w:val="0"/>
        </w:rPr>
      </w:r>
    </w:p>
    <w:p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Numeric matrices, rather than rendered heatmaps, were used as model inputs.</w:t>
      </w:r>
      <w:r>
        <w:rPr>
          <w:rtl w:val="0"/>
        </w:rPr>
      </w:r>
    </w:p>
    <w:p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right="0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073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Sample and Feature Summary</w:t>
      </w:r>
    </w:p>
    <w:p w14:paraId="00000074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build produced 922 team-season rows. Quality filtering removed 633 rows below the match threshold and one zero-sum row, leaving 288 complete samples. Experiments A and B used 192 features; Experiment C used 384 created-and-received xT features.</w:t>
      </w:r>
    </w:p>
    <w:tbl>
      <w:tblPr>
        <w:tblStyle w:val="Table4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3823"/>
        <w:gridCol w:w="2693"/>
        <w:gridCol w:w="2834"/>
        <w:tblGridChange w:id="0">
          <w:tblGrid>
            <w:gridCol w:w="3823"/>
            <w:gridCol w:w="2693"/>
            <w:gridCol w:w="2834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75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Metric</w:t>
            </w:r>
          </w:p>
        </w:tc>
        <w:tc>
          <w:tcPr>
            <w:shd w:fill="f3f3f3" w:val="clear"/>
            <w:vAlign w:val="center"/>
          </w:tcPr>
          <w:p w14:paraId="00000076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Experiment A</w:t>
            </w:r>
          </w:p>
        </w:tc>
        <w:tc>
          <w:tcPr>
            <w:shd w:fill="f3f3f3" w:val="clear"/>
            <w:vAlign w:val="center"/>
          </w:tcPr>
          <w:p w14:paraId="00000077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Experiment B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78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Rows analyzed</w:t>
            </w:r>
          </w:p>
        </w:tc>
        <w:tc>
          <w:tcPr>
            <w:vAlign w:val="center"/>
          </w:tcPr>
          <w:p w14:paraId="00000079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288</w:t>
            </w:r>
          </w:p>
        </w:tc>
        <w:tc>
          <w:tcPr>
            <w:vAlign w:val="center"/>
          </w:tcPr>
          <w:p w14:paraId="0000007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288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7B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Spatial features</w:t>
            </w:r>
          </w:p>
        </w:tc>
        <w:tc>
          <w:tcPr>
            <w:vAlign w:val="center"/>
          </w:tcPr>
          <w:p w14:paraId="0000007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192</w:t>
            </w:r>
          </w:p>
        </w:tc>
        <w:tc>
          <w:tcPr>
            <w:vAlign w:val="center"/>
          </w:tcPr>
          <w:p w14:paraId="0000007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192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7E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Final clusters</w:t>
            </w:r>
          </w:p>
        </w:tc>
        <w:tc>
          <w:tcPr>
            <w:vAlign w:val="center"/>
          </w:tcPr>
          <w:p w14:paraId="0000007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vAlign w:val="center"/>
          </w:tcPr>
          <w:p w14:paraId="0000008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8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PCA components</w:t>
            </w:r>
          </w:p>
        </w:tc>
        <w:tc>
          <w:tcPr>
            <w:vAlign w:val="center"/>
          </w:tcPr>
          <w:p w14:paraId="0000008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75</w:t>
            </w:r>
          </w:p>
        </w:tc>
        <w:tc>
          <w:tcPr>
            <w:vAlign w:val="center"/>
          </w:tcPr>
          <w:p w14:paraId="00000083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75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84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Quality check</w:t>
            </w:r>
          </w:p>
        </w:tc>
        <w:tc>
          <w:tcPr>
            <w:vAlign w:val="center"/>
          </w:tcPr>
          <w:p w14:paraId="00000085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 missing; pass</w:t>
            </w:r>
          </w:p>
        </w:tc>
        <w:tc>
          <w:tcPr>
            <w:vAlign w:val="center"/>
          </w:tcPr>
          <w:p w14:paraId="0000008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 missing; pass</w:t>
            </w:r>
          </w:p>
        </w:tc>
      </w:tr>
    </w:tbl>
    <w:p w14:paraId="00000087">
      <w:pPr>
        <w:spacing w:after="240" w:before="240" w:lineRule="auto"/>
        <w:rPr>
          <w:rFonts w:ascii="Georgia" w:cs="Georgia" w:eastAsia="Georgia" w:hAnsi="Georgia"/>
        </w:rPr>
      </w:pPr>
      <w:r>
        <w:rPr>
          <w:rtl w:val="0"/>
        </w:rPr>
      </w:r>
    </w:p>
    <w:p w14:paraId="00000088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Primary Outcome</w:t>
      </w:r>
    </w:p>
    <w:p w14:paraId="00000089">
      <w:pPr>
        <w:rPr>
          <w:rFonts w:ascii="Georgia" w:cs="Georgia" w:eastAsia="Georgia" w:hAnsi="Georgia"/>
        </w:rPr>
      </w:pPr>
      <w:r>
        <w:rPr>
          <w:rtl w:val="0"/>
        </w:rPr>
      </w:r>
    </w:p>
    <w:tbl>
      <w:tblPr>
        <w:tblStyle w:val="Table5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1870"/>
        <w:gridCol w:w="1870"/>
        <w:gridCol w:w="1870"/>
        <w:gridCol w:w="1870"/>
        <w:gridCol w:w="1870"/>
        <w:tblGridChange w:id="0">
          <w:tblGrid>
            <w:gridCol w:w="1870"/>
            <w:gridCol w:w="1870"/>
            <w:gridCol w:w="1870"/>
            <w:gridCol w:w="1870"/>
            <w:gridCol w:w="1870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8A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Measure</w:t>
            </w:r>
          </w:p>
        </w:tc>
        <w:tc>
          <w:tcPr>
            <w:shd w:fill="f3f3f3" w:val="clear"/>
            <w:vAlign w:val="center"/>
          </w:tcPr>
          <w:p w14:paraId="0000008B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Experiment A</w:t>
            </w:r>
          </w:p>
        </w:tc>
        <w:tc>
          <w:tcPr>
            <w:shd w:fill="f3f3f3" w:val="clear"/>
            <w:vAlign w:val="center"/>
          </w:tcPr>
          <w:p w14:paraId="0000008C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Experiment B</w:t>
            </w:r>
          </w:p>
        </w:tc>
        <w:tc>
          <w:tcPr>
            <w:shd w:fill="f3f3f3" w:val="clear"/>
            <w:vAlign w:val="center"/>
          </w:tcPr>
          <w:p w14:paraId="0000008D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Delta</w:t>
            </w:r>
          </w:p>
        </w:tc>
        <w:tc>
          <w:tcPr>
            <w:shd w:fill="f3f3f3" w:val="clear"/>
            <w:vAlign w:val="center"/>
          </w:tcPr>
          <w:p w14:paraId="0000008E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Result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8F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Silhouette (k=5)</w:t>
            </w:r>
          </w:p>
        </w:tc>
        <w:tc>
          <w:tcPr>
            <w:vAlign w:val="center"/>
          </w:tcPr>
          <w:p w14:paraId="0000009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0.0296</w:t>
            </w:r>
          </w:p>
        </w:tc>
        <w:tc>
          <w:tcPr>
            <w:vAlign w:val="center"/>
          </w:tcPr>
          <w:p w14:paraId="00000091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0.0296</w:t>
            </w:r>
          </w:p>
        </w:tc>
        <w:tc>
          <w:tcPr>
            <w:vAlign w:val="center"/>
          </w:tcPr>
          <w:p w14:paraId="0000009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+0.0000</w:t>
            </w:r>
          </w:p>
        </w:tc>
        <w:tc>
          <w:tcPr>
            <w:vAlign w:val="center"/>
          </w:tcPr>
          <w:p w14:paraId="00000093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 practical change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94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PCA variance</w:t>
            </w:r>
          </w:p>
        </w:tc>
        <w:tc>
          <w:tcPr>
            <w:vAlign w:val="center"/>
          </w:tcPr>
          <w:p w14:paraId="00000095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0.8527</w:t>
            </w:r>
          </w:p>
        </w:tc>
        <w:tc>
          <w:tcPr>
            <w:vAlign w:val="center"/>
          </w:tcPr>
          <w:p w14:paraId="0000009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0.8527</w:t>
            </w:r>
          </w:p>
        </w:tc>
        <w:tc>
          <w:tcPr>
            <w:vAlign w:val="center"/>
          </w:tcPr>
          <w:p w14:paraId="00000097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~0.0000</w:t>
            </w:r>
          </w:p>
        </w:tc>
        <w:tc>
          <w:tcPr>
            <w:vAlign w:val="center"/>
          </w:tcPr>
          <w:p w14:paraId="0000009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Equivalent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99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ARI / NMI</w:t>
            </w:r>
          </w:p>
        </w:tc>
        <w:tc>
          <w:tcPr>
            <w:vAlign w:val="center"/>
          </w:tcPr>
          <w:p w14:paraId="0000009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Reference</w:t>
            </w:r>
          </w:p>
        </w:tc>
        <w:tc>
          <w:tcPr>
            <w:vAlign w:val="center"/>
          </w:tcPr>
          <w:p w14:paraId="0000009B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1.000 / 1.000</w:t>
            </w:r>
          </w:p>
        </w:tc>
        <w:tc>
          <w:tcPr>
            <w:vAlign w:val="center"/>
          </w:tcPr>
          <w:p w14:paraId="0000009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Identical</w:t>
            </w:r>
          </w:p>
        </w:tc>
        <w:tc>
          <w:tcPr>
            <w:vAlign w:val="center"/>
          </w:tcPr>
          <w:p w14:paraId="0000009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 differentiation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9E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Outcome</w:t>
            </w:r>
          </w:p>
        </w:tc>
        <w:tc>
          <w:tcPr>
            <w:vAlign w:val="center"/>
          </w:tcPr>
          <w:p w14:paraId="0000009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Raw baseline</w:t>
            </w:r>
          </w:p>
        </w:tc>
        <w:tc>
          <w:tcPr>
            <w:vAlign w:val="center"/>
          </w:tcPr>
          <w:p w14:paraId="000000A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Smoothed run</w:t>
            </w:r>
          </w:p>
        </w:tc>
        <w:tc>
          <w:tcPr>
            <w:vAlign w:val="center"/>
          </w:tcPr>
          <w:p w14:paraId="000000A1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vAlign w:val="center"/>
          </w:tcPr>
          <w:p w14:paraId="000000A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Hypothesis not supported</w:t>
            </w:r>
          </w:p>
        </w:tc>
      </w:tr>
    </w:tbl>
    <w:p w14:paraId="000000A3">
      <w:pPr>
        <w:spacing w:after="240" w:before="240" w:lineRule="auto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Experiments A and B produced identical assignments on all 288 rows (ARI = 1.000, NMI = 1.000) and effectively identical k = 5 diagnostics. The recorded smoothing hypothesis is therefore not supported by this run.</w:t>
      </w:r>
    </w:p>
    <w:p w14:paraId="000000A4">
      <w:pPr>
        <w:spacing w:after="160" w:line="278.00000000000006" w:lineRule="auto"/>
        <w:rPr>
          <w:rFonts w:ascii="Georgia" w:cs="Georgia" w:eastAsia="Georgia" w:hAnsi="Georgia"/>
        </w:rPr>
      </w:pPr>
      <w:r>
        <w:rPr>
          <w:rtl w:val="0"/>
        </w:rPr>
      </w:r>
    </w:p>
    <w:p w14:paraId="000000A5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Quality Diagnostics</w:t>
      </w:r>
    </w:p>
    <w:p w14:paraId="000000A6">
      <w:pPr>
        <w:rPr>
          <w:rFonts w:ascii="Georgia" w:cs="Georgia" w:eastAsia="Georgia" w:hAnsi="Georgia"/>
        </w:rPr>
      </w:pPr>
      <w:r>
        <w:rPr>
          <w:rtl w:val="0"/>
        </w:rPr>
      </w:r>
    </w:p>
    <w:tbl>
      <w:tblPr>
        <w:tblStyle w:val="Table6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263"/>
        <w:gridCol w:w="1843"/>
        <w:gridCol w:w="1843"/>
        <w:gridCol w:w="1701"/>
        <w:gridCol w:w="1700"/>
        <w:tblGridChange w:id="0">
          <w:tblGrid>
            <w:gridCol w:w="2263"/>
            <w:gridCol w:w="1843"/>
            <w:gridCol w:w="1843"/>
            <w:gridCol w:w="1701"/>
            <w:gridCol w:w="1700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A7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Diagnostic</w:t>
            </w:r>
          </w:p>
        </w:tc>
        <w:tc>
          <w:tcPr>
            <w:shd w:fill="f3f3f3" w:val="clear"/>
            <w:vAlign w:val="center"/>
          </w:tcPr>
          <w:p w14:paraId="000000A8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Experiment A</w:t>
            </w:r>
          </w:p>
        </w:tc>
        <w:tc>
          <w:tcPr>
            <w:shd w:fill="f3f3f3" w:val="clear"/>
            <w:vAlign w:val="center"/>
          </w:tcPr>
          <w:p w14:paraId="000000A9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Experiment C</w:t>
            </w:r>
          </w:p>
        </w:tc>
        <w:tc>
          <w:tcPr>
            <w:shd w:fill="f3f3f3" w:val="clear"/>
            <w:vAlign w:val="center"/>
          </w:tcPr>
          <w:p w14:paraId="000000AA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Delta</w:t>
            </w:r>
          </w:p>
        </w:tc>
        <w:tc>
          <w:tcPr>
            <w:shd w:fill="f3f3f3" w:val="clear"/>
            <w:vAlign w:val="center"/>
          </w:tcPr>
          <w:p w14:paraId="000000AB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Status</w:t>
            </w:r>
          </w:p>
        </w:tc>
      </w:tr>
      <w:tr>
        <w:trPr>
          <w:cantSplit w:val="0"/>
          <w:trHeight w:val="446.9921875" w:hRule="atLeast"/>
          <w:tblHeader w:val="0"/>
        </w:trPr>
        <w:tc>
          <w:tcPr>
            <w:vAlign w:val="center"/>
          </w:tcPr>
          <w:p w14:paraId="000000AC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Silhouette (k=5)</w:t>
            </w:r>
          </w:p>
        </w:tc>
        <w:tc>
          <w:tcPr>
            <w:vAlign w:val="center"/>
          </w:tcPr>
          <w:p w14:paraId="000000A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0.0296</w:t>
            </w:r>
          </w:p>
        </w:tc>
        <w:tc>
          <w:tcPr>
            <w:vAlign w:val="center"/>
          </w:tcPr>
          <w:p w14:paraId="000000A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0.0436</w:t>
            </w:r>
          </w:p>
        </w:tc>
        <w:tc>
          <w:tcPr>
            <w:vAlign w:val="center"/>
          </w:tcPr>
          <w:p w14:paraId="000000A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+0.0140</w:t>
            </w:r>
          </w:p>
        </w:tc>
        <w:tc>
          <w:tcPr>
            <w:vAlign w:val="center"/>
          </w:tcPr>
          <w:p w14:paraId="000000B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Improved</w:t>
            </w:r>
          </w:p>
        </w:tc>
      </w:tr>
      <w:tr>
        <w:trPr>
          <w:cantSplit w:val="0"/>
          <w:trHeight w:val="446.9921875" w:hRule="atLeast"/>
          <w:tblHeader w:val="0"/>
        </w:trPr>
        <w:tc>
          <w:tcPr>
            <w:vAlign w:val="center"/>
          </w:tcPr>
          <w:p w14:paraId="000000B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Calinski-Harabasz</w:t>
            </w:r>
          </w:p>
        </w:tc>
        <w:tc>
          <w:tcPr>
            <w:vAlign w:val="center"/>
          </w:tcPr>
          <w:p w14:paraId="000000B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10.2786</w:t>
            </w:r>
          </w:p>
        </w:tc>
        <w:tc>
          <w:tcPr>
            <w:vAlign w:val="center"/>
          </w:tcPr>
          <w:p w14:paraId="000000B3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14.7739</w:t>
            </w:r>
          </w:p>
        </w:tc>
        <w:tc>
          <w:tcPr>
            <w:vAlign w:val="center"/>
          </w:tcPr>
          <w:p w14:paraId="000000B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+4.4953</w:t>
            </w:r>
          </w:p>
        </w:tc>
        <w:tc>
          <w:tcPr>
            <w:vAlign w:val="center"/>
          </w:tcPr>
          <w:p w14:paraId="000000B5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Improved</w:t>
            </w:r>
          </w:p>
        </w:tc>
      </w:tr>
      <w:tr>
        <w:trPr>
          <w:cantSplit w:val="0"/>
          <w:trHeight w:val="446.9921875" w:hRule="atLeast"/>
          <w:tblHeader w:val="0"/>
        </w:trPr>
        <w:tc>
          <w:tcPr>
            <w:vAlign w:val="center"/>
          </w:tcPr>
          <w:p w14:paraId="000000B6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Davies-Bouldin</w:t>
            </w:r>
          </w:p>
        </w:tc>
        <w:tc>
          <w:tcPr>
            <w:vAlign w:val="center"/>
          </w:tcPr>
          <w:p w14:paraId="000000B7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2.3701</w:t>
            </w:r>
          </w:p>
        </w:tc>
        <w:tc>
          <w:tcPr>
            <w:vAlign w:val="center"/>
          </w:tcPr>
          <w:p w14:paraId="000000B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2.4003</w:t>
            </w:r>
          </w:p>
        </w:tc>
        <w:tc>
          <w:tcPr>
            <w:vAlign w:val="center"/>
          </w:tcPr>
          <w:p w14:paraId="000000B9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+0.0302</w:t>
            </w:r>
          </w:p>
        </w:tc>
        <w:tc>
          <w:tcPr>
            <w:vAlign w:val="center"/>
          </w:tcPr>
          <w:p w14:paraId="000000B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Worse</w:t>
            </w:r>
          </w:p>
        </w:tc>
      </w:tr>
      <w:tr>
        <w:trPr>
          <w:cantSplit w:val="0"/>
          <w:trHeight w:val="446.9921875" w:hRule="atLeast"/>
          <w:tblHeader w:val="0"/>
        </w:trPr>
        <w:tc>
          <w:tcPr>
            <w:vAlign w:val="center"/>
          </w:tcPr>
          <w:p w14:paraId="000000BB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Singleton clusters</w:t>
            </w:r>
          </w:p>
        </w:tc>
        <w:tc>
          <w:tcPr>
            <w:vAlign w:val="center"/>
          </w:tcPr>
          <w:p w14:paraId="000000B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vAlign w:val="center"/>
          </w:tcPr>
          <w:p w14:paraId="000000B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vAlign w:val="center"/>
          </w:tcPr>
          <w:p w14:paraId="000000B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-1</w:t>
            </w:r>
          </w:p>
        </w:tc>
        <w:tc>
          <w:tcPr>
            <w:vAlign w:val="center"/>
          </w:tcPr>
          <w:p w14:paraId="000000B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Caution remains</w:t>
            </w:r>
          </w:p>
        </w:tc>
      </w:tr>
    </w:tbl>
    <w:p w14:paraId="000000C0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Experiment C improved the k = 5 silhouette and Calinski-Harabasz scores, but its Davies-Bouldin score worsened slightly. One singleton cluster remained. The richer representation is informative, but evidence is mixed rather than conclusive.</w:t>
      </w:r>
    </w:p>
    <w:p w14:paraId="000000C1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Cross-Experiment Results</w:t>
      </w:r>
    </w:p>
    <w:p w14:paraId="000000C2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comparisons are exploratory and use internal clustering diagnostics, not labeled tactical ground truth. ARI and NMI measure assignment agreement on the shared 288-row sample; they do not measure whether a cluster name is correct.</w:t>
      </w:r>
    </w:p>
    <w:tbl>
      <w:tblPr>
        <w:tblStyle w:val="Table7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1870"/>
        <w:gridCol w:w="1870"/>
        <w:gridCol w:w="1870"/>
        <w:gridCol w:w="1870"/>
        <w:gridCol w:w="1870"/>
        <w:tblGridChange w:id="0">
          <w:tblGrid>
            <w:gridCol w:w="1870"/>
            <w:gridCol w:w="1870"/>
            <w:gridCol w:w="1870"/>
            <w:gridCol w:w="1870"/>
            <w:gridCol w:w="1870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C3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Comparison</w:t>
            </w:r>
          </w:p>
        </w:tc>
        <w:tc>
          <w:tcPr>
            <w:shd w:fill="f3f3f3" w:val="clear"/>
            <w:vAlign w:val="center"/>
          </w:tcPr>
          <w:p w14:paraId="000000C4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Baseline</w:t>
            </w:r>
          </w:p>
        </w:tc>
        <w:tc>
          <w:tcPr>
            <w:shd w:fill="f3f3f3" w:val="clear"/>
            <w:vAlign w:val="center"/>
          </w:tcPr>
          <w:p w14:paraId="000000C5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Alternative</w:t>
            </w:r>
          </w:p>
        </w:tc>
        <w:tc>
          <w:tcPr>
            <w:shd w:fill="f3f3f3" w:val="clear"/>
            <w:vAlign w:val="center"/>
          </w:tcPr>
          <w:p w14:paraId="000000C6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Difference</w:t>
            </w:r>
          </w:p>
        </w:tc>
        <w:tc>
          <w:tcPr>
            <w:shd w:fill="f3f3f3" w:val="clear"/>
            <w:vAlign w:val="center"/>
          </w:tcPr>
          <w:p w14:paraId="000000C7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Interpretation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C8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 vs B assignments</w:t>
            </w:r>
          </w:p>
        </w:tc>
        <w:tc>
          <w:tcPr>
            <w:vAlign w:val="center"/>
          </w:tcPr>
          <w:p w14:paraId="000000C9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</w:t>
            </w:r>
          </w:p>
        </w:tc>
        <w:tc>
          <w:tcPr>
            <w:vAlign w:val="center"/>
          </w:tcPr>
          <w:p w14:paraId="000000C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B</w:t>
            </w:r>
          </w:p>
        </w:tc>
        <w:tc>
          <w:tcPr>
            <w:vAlign w:val="center"/>
          </w:tcPr>
          <w:p w14:paraId="000000CB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ARI 1.000</w:t>
            </w:r>
          </w:p>
        </w:tc>
        <w:tc>
          <w:tcPr>
            <w:vAlign w:val="center"/>
          </w:tcPr>
          <w:p w14:paraId="000000C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Identical structure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CD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 vs C assignments</w:t>
            </w:r>
          </w:p>
        </w:tc>
        <w:tc>
          <w:tcPr>
            <w:vAlign w:val="center"/>
          </w:tcPr>
          <w:p w14:paraId="000000C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</w:t>
            </w:r>
          </w:p>
        </w:tc>
        <w:tc>
          <w:tcPr>
            <w:vAlign w:val="center"/>
          </w:tcPr>
          <w:p w14:paraId="000000C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C</w:t>
            </w:r>
          </w:p>
        </w:tc>
        <w:tc>
          <w:tcPr>
            <w:vAlign w:val="center"/>
          </w:tcPr>
          <w:p w14:paraId="000000D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ARI 0.378</w:t>
            </w:r>
          </w:p>
        </w:tc>
        <w:tc>
          <w:tcPr>
            <w:vAlign w:val="center"/>
          </w:tcPr>
          <w:p w14:paraId="000000D1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Material regrouping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D2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 vs C information</w:t>
            </w:r>
          </w:p>
        </w:tc>
        <w:tc>
          <w:tcPr>
            <w:vAlign w:val="center"/>
          </w:tcPr>
          <w:p w14:paraId="000000D3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</w:t>
            </w:r>
          </w:p>
        </w:tc>
        <w:tc>
          <w:tcPr>
            <w:vAlign w:val="center"/>
          </w:tcPr>
          <w:p w14:paraId="000000D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C</w:t>
            </w:r>
          </w:p>
        </w:tc>
        <w:tc>
          <w:tcPr>
            <w:vAlign w:val="center"/>
          </w:tcPr>
          <w:p w14:paraId="000000D5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NMI 0.438</w:t>
            </w:r>
          </w:p>
        </w:tc>
        <w:tc>
          <w:tcPr>
            <w:vAlign w:val="center"/>
          </w:tcPr>
          <w:p w14:paraId="000000D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Partial overlap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D7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Best evaluated k</w:t>
            </w:r>
          </w:p>
        </w:tc>
        <w:tc>
          <w:tcPr>
            <w:vAlign w:val="center"/>
          </w:tcPr>
          <w:p w14:paraId="000000D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k = 3</w:t>
            </w:r>
          </w:p>
        </w:tc>
        <w:tc>
          <w:tcPr>
            <w:vAlign w:val="center"/>
          </w:tcPr>
          <w:p w14:paraId="000000D9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saved k = 5</w:t>
            </w:r>
          </w:p>
        </w:tc>
        <w:tc>
          <w:tcPr>
            <w:vAlign w:val="center"/>
          </w:tcPr>
          <w:p w14:paraId="000000D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Lower at k = 5</w:t>
            </w:r>
          </w:p>
        </w:tc>
        <w:tc>
          <w:tcPr>
            <w:vAlign w:val="center"/>
          </w:tcPr>
          <w:p w14:paraId="000000DB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Revisit k choice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DC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Feature breadth</w:t>
            </w:r>
          </w:p>
        </w:tc>
        <w:tc>
          <w:tcPr>
            <w:vAlign w:val="center"/>
          </w:tcPr>
          <w:p w14:paraId="000000D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192</w:t>
            </w:r>
          </w:p>
        </w:tc>
        <w:tc>
          <w:tcPr>
            <w:vAlign w:val="center"/>
          </w:tcPr>
          <w:p w14:paraId="000000D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384</w:t>
            </w:r>
          </w:p>
        </w:tc>
        <w:tc>
          <w:tcPr>
            <w:vAlign w:val="center"/>
          </w:tcPr>
          <w:p w14:paraId="000000D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+192</w:t>
            </w:r>
          </w:p>
        </w:tc>
        <w:tc>
          <w:tcPr>
            <w:vAlign w:val="center"/>
          </w:tcPr>
          <w:p w14:paraId="000000E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Received xT adds signal</w:t>
            </w:r>
          </w:p>
        </w:tc>
      </w:tr>
    </w:tbl>
    <w:p w14:paraId="000000E1">
      <w:pPr>
        <w:rPr>
          <w:rFonts w:ascii="Georgia" w:cs="Georgia" w:eastAsia="Georgia" w:hAnsi="Georgia"/>
        </w:rPr>
      </w:pPr>
      <w:r>
        <w:rPr>
          <w:rtl w:val="0"/>
        </w:rPr>
      </w:r>
    </w:p>
    <w:p w14:paraId="000000E2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C materially regrouped rows relative to A and B (ARI = 0.378, NMI = 0.438), consistent with complementary information from received xT. However, k = 3 achieved the strongest silhouette among evaluated candidates, so the saved k = 5 solution should not be treated as settled.</w:t>
      </w:r>
    </w:p>
    <w:p w14:paraId="000000E3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0E4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Data Quality and Limitations</w:t>
      </w:r>
    </w:p>
    <w:p w14:paraId="000000E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source is historical open data spanning competitions, seasons, and both men's and women's football; composition can influence clusters.</w:t>
      </w:r>
      <w:r>
        <w:rPr>
          <w:rtl w:val="0"/>
        </w:rPr>
      </w:r>
    </w:p>
    <w:p w14:paraId="000000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Filtering retained 288 of 922 rows, favoring team-seasons with sufficient match coverage.</w:t>
      </w:r>
      <w:r>
        <w:rPr>
          <w:rtl w:val="0"/>
        </w:rPr>
      </w:r>
    </w:p>
    <w:p w14:paraId="000000E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final k = 5 configurations have low silhouette values and singleton clusters; k = 3 scored higher.</w:t>
      </w:r>
      <w:r>
        <w:rPr>
          <w:rtl w:val="0"/>
        </w:rPr>
      </w:r>
    </w:p>
    <w:p w14:paraId="000000E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completed multi-channel run detected created and received xT only, not every proposed pass, carry, and action-count channel.</w:t>
      </w:r>
      <w:r>
        <w:rPr>
          <w:rtl w:val="0"/>
        </w:rPr>
      </w:r>
    </w:p>
    <w:p w14:paraId="000000E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xT profiles describe possession threat locations, not pressing, defensive structure, player availability, or current team strength.</w:t>
      </w:r>
      <w:r>
        <w:rPr>
          <w:rtl w:val="0"/>
        </w:rPr>
      </w:r>
    </w:p>
    <w:p w14:paraId="000000EA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These findings support an analytical baseline and a reproducible comparison workflow. They do not support causal tactical labels, live 2026 forecasts, or betting decisions.</w:t>
      </w:r>
    </w:p>
    <w:p w14:paraId="000000EB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0EC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Interpretation</w:t>
      </w:r>
    </w:p>
    <w:p w14:paraId="000000ED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smoothing run did not alter the observed cluster structure, while the created-plus-received representation produced a different partition and improved two of three k = 5 diagnostics. This partially supports the richer-feature hypothesis but not a claim that C is definitively superior.</w:t>
      </w:r>
    </w:p>
    <w:p w14:paraId="000000EE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most defensible decision is to keep A as the interpretable reference, retain C as an exploratory extension, and withhold strong cluster labels until k selection, singleton handling, and stability checks are resolved. B requires verification before it adds evidence.</w:t>
      </w:r>
    </w:p>
    <w:p w14:paraId="000000EF">
      <w:pPr>
        <w:spacing w:after="160" w:line="278.00000000000006" w:lineRule="auto"/>
        <w:rPr>
          <w:rFonts w:ascii="Georgia" w:cs="Georgia" w:eastAsia="Georgia" w:hAnsi="Georgia"/>
        </w:rPr>
      </w:pPr>
      <w:r>
        <w:rPr>
          <w:rtl w:val="0"/>
        </w:rPr>
      </w:r>
    </w:p>
    <w:p w14:paraId="000000F0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Decision Log</w:t>
      </w:r>
    </w:p>
    <w:p w14:paraId="000000F1">
      <w:pPr>
        <w:rPr>
          <w:rFonts w:ascii="Georgia" w:cs="Georgia" w:eastAsia="Georgia" w:hAnsi="Georgia"/>
        </w:rPr>
      </w:pPr>
      <w:r>
        <w:rPr>
          <w:rtl w:val="0"/>
        </w:rPr>
      </w:r>
    </w:p>
    <w:tbl>
      <w:tblPr>
        <w:tblStyle w:val="Table8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263"/>
        <w:gridCol w:w="7087"/>
        <w:tblGridChange w:id="0">
          <w:tblGrid>
            <w:gridCol w:w="2263"/>
            <w:gridCol w:w="7087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F2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Item</w:t>
            </w:r>
          </w:p>
        </w:tc>
        <w:tc>
          <w:tcPr>
            <w:shd w:fill="f3f3f3" w:val="clear"/>
            <w:vAlign w:val="center"/>
          </w:tcPr>
          <w:p w14:paraId="000000F3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Decision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F4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Final Decision</w:t>
            </w:r>
          </w:p>
        </w:tc>
        <w:tc>
          <w:tcPr>
            <w:vAlign w:val="center"/>
          </w:tcPr>
          <w:p w14:paraId="000000F5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Keep A as baseline; retain C as exploratory; verify B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F6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Decision Date</w:t>
            </w:r>
          </w:p>
        </w:tc>
        <w:tc>
          <w:tcPr>
            <w:vAlign w:val="center"/>
          </w:tcPr>
          <w:p w14:paraId="000000F7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July 27, 2026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F8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Approvers</w:t>
            </w:r>
          </w:p>
        </w:tc>
        <w:tc>
          <w:tcPr>
            <w:vAlign w:val="center"/>
          </w:tcPr>
          <w:p w14:paraId="000000F9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Project author; independent review recommended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FA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Rollout Type</w:t>
            </w:r>
          </w:p>
        </w:tc>
        <w:tc>
          <w:tcPr>
            <w:vAlign w:val="center"/>
          </w:tcPr>
          <w:p w14:paraId="000000FB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Documentation and portfolio presentation only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FC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Rollback Trigger</w:t>
            </w:r>
          </w:p>
        </w:tc>
        <w:tc>
          <w:tcPr>
            <w:vAlign w:val="center"/>
          </w:tcPr>
          <w:p w14:paraId="000000FD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Withhold strong labels while low separation or singletons persist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FE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Follow Up</w:t>
            </w:r>
          </w:p>
        </w:tc>
        <w:tc>
          <w:tcPr>
            <w:vAlign w:val="center"/>
          </w:tcPr>
          <w:p w14:paraId="000000FF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Test k = 3, stability, smoothing, and outlier sensitivity</w:t>
            </w:r>
          </w:p>
        </w:tc>
      </w:tr>
    </w:tbl>
    <w:p w14:paraId="00000100">
      <w:pPr>
        <w:rPr>
          <w:rFonts w:ascii="Georgia" w:cs="Georgia" w:eastAsia="Georgia" w:hAnsi="Georgia"/>
        </w:rPr>
      </w:pPr>
      <w:r>
        <w:rPr>
          <w:rtl w:val="0"/>
        </w:rPr>
      </w:r>
    </w:p>
    <w:p w14:paraId="00000101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Next Steps</w:t>
      </w:r>
    </w:p>
    <w:p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Compare k = 3 and k = 5 across repeated seeds.</w:t>
      </w:r>
      <w:r>
        <w:rPr>
          <w:rtl w:val="0"/>
        </w:rPr>
      </w:r>
    </w:p>
    <w:p w14:paraId="0000010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Verify Experiment B's smoothing input and transformation.</w:t>
      </w:r>
      <w:r>
        <w:rPr>
          <w:rtl w:val="0"/>
        </w:rPr>
      </w:r>
    </w:p>
    <w:p w14:paraId="0000010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singleton and minimum-match sensitivity.</w:t>
      </w:r>
      <w:r>
        <w:rPr>
          <w:rtl w:val="0"/>
        </w:rPr>
      </w:r>
    </w:p>
    <w:p w14:paraId="0000010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 cluster composition by competition, season, and gender.</w:t>
      </w:r>
      <w:r>
        <w:rPr>
          <w:rtl w:val="0"/>
        </w:rPr>
      </w:r>
    </w:p>
    <w:p w14:paraId="0000010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Preserve the build log, feature dictionary, artifact catalog, and limitations.</w:t>
      </w:r>
      <w:r>
        <w:rPr>
          <w:rtl w:val="0"/>
        </w:rPr>
      </w:r>
    </w:p>
    <w:p w14:paraId="00000107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108">
      <w:pPr>
        <w:pStyle w:val="Heading1"/>
        <w:rPr>
          <w:rFonts w:ascii="Georgia" w:cs="Georgia" w:eastAsia="Georgia" w:hAnsi="Georgia"/>
        </w:rPr>
        <w:pageBreakBefore/>
      </w:pPr>
      <w:r>
        <w:rPr>
          <w:rFonts w:ascii="Georgia" w:cs="Georgia" w:eastAsia="Georgia" w:hAnsi="Georgia"/>
          <w:rtl w:val="0"/>
        </w:rPr>
        <w:t xml:space="preserve">Appendix A: Metric Definitions</w:t>
      </w:r>
    </w:p>
    <w:p w14:paraId="0000010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Silhouette score: compares within-cluster cohesion with nearest-cluster separation; higher is better.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w14:paraId="0000010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Calinski-Harabasz score: ratio of between-cluster to within-cluster dispersion; higher is better.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w14:paraId="0000010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Davies-Bouldin score: average similarity between each cluster and its closest alternative; lower is better.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w14:paraId="0000010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Adjusted Rand Index (ARI): chance-adjusted agreement between two assignments on the same rows; 1 is identical.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w14:paraId="0000010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Normalized Mutual Information (NMI): normalized shared information between two assignment sets; 1 is identical.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w14:paraId="0000010E">
      <w:pPr>
        <w:spacing w:after="160" w:line="278.00000000000006" w:lineRule="auto"/>
        <w:rPr>
          <w:rFonts w:ascii="Georgia" w:cs="Georgia" w:eastAsia="Georgia" w:hAnsi="Georgia"/>
        </w:rPr>
      </w:pPr>
      <w:r>
        <w:rPr>
          <w:rtl w:val="0"/>
        </w:rPr>
      </w:r>
    </w:p>
    <w:p w14:paraId="0000010F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Appendix B: Analyst Notes</w:t>
      </w:r>
    </w:p>
    <w:p w14:paraId="0000011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Methods: pandas and NumPy for data preparation; scikit-learn StandardScaler, PCA, and KMeans for modeling and diagnostics.</w:t>
      </w:r>
      <w:r>
        <w:rPr>
          <w:rtl w:val="0"/>
        </w:rPr>
      </w:r>
    </w:p>
    <w:p w14:paraId="0000011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notebooks evaluate k = 3 through 10 but save k = 5 as the configured final model; no significance test or confidence interval was invented for these unsupervised scores.</w:t>
      </w:r>
      <w:r>
        <w:rPr>
          <w:rtl w:val="0"/>
        </w:rPr>
      </w:r>
    </w:p>
    <w:p w14:paraId="0000011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All numeric results in this report were read from saved experiment CSVs and the xT build log; no new model run was performed for this documentation update.</w:t>
      </w:r>
      <w:r>
        <w:rPr>
          <w:rtl w:val="0"/>
        </w:rPr>
      </w:r>
    </w:p>
    <w:p w14:paraId="0000011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Provenance: local StatsBomb Open Data. The retained notebooks and generated outputs remain the source of record for calculation details.</w:t>
      </w:r>
      <w:r>
        <w:rPr>
          <w:rtl w:val="0"/>
        </w:rPr>
      </w:r>
    </w:p>
    <w:p w14:paraId="00000114">
      <w:pPr>
        <w:rPr>
          <w:rFonts w:ascii="Georgia" w:cs="Georgia" w:eastAsia="Georgia" w:hAnsi="Georgia"/>
        </w:rPr>
      </w:pPr>
      <w:r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116">
    <w:pPr>
      <w:rPr>
        <w:color w:val="002715"/>
      </w:rPr>
    </w:pPr>
    <w:r>
      <w:rPr>
        <w:rtl w:val="0"/>
      </w:rPr>
    </w:r>
  </w:p>
  <w:sdt>
    <w:sdtPr>
      <w:lock w:val="contentLocked"/>
      <w:id w:val="-913180812"/>
      <w:tag w:val="goog_rdk_0"/>
    </w:sdtPr>
    <w:sdtContent>
      <w:tbl>
        <w:tblPr>
          <w:tblStyle w:val="Table9"/>
          <w:tblW w:w="9360.0" w:type="dxa"/>
          <w:jc w:val="left"/>
          <w:tblLayout w:type="fixed"/>
          <w:tblLook w:val="0600"/>
        </w:tblPr>
        <w:tblGrid>
          <w:gridCol w:w="4680"/>
          <w:gridCol w:w="4680"/>
          <w:tblGridChange w:id="0">
            <w:tblGrid>
              <w:gridCol w:w="4680"/>
              <w:gridCol w:w="4680"/>
            </w:tblGrid>
          </w:tblGridChange>
        </w:tblGrid>
        <w:tr>
          <w:trPr>
            <w:cantSplit w:val="0"/>
            <w:tblHeader w:val="0"/>
          </w:trPr>
          <w:tc>
            <w:tcPr>
              <w:tc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w14:paraId="00000117">
              <w:pPr>
                <w:keepNext w:val="0"/>
                <w:keepLines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left"/>
                <w:rPr>
                  <w:rFonts w:ascii="Georgia" w:cs="Georgia" w:eastAsia="Georgia" w:hAnsi="Georgia"/>
                  <w:color w:val="105128"/>
                  <w:sz w:val="18"/>
                  <w:szCs w:val="18"/>
                </w:rPr>
              </w:pPr>
              <w:r>
                <w:rPr>
                  <w:rFonts w:ascii="Georgia" w:cs="Georgia" w:eastAsia="Georgia" w:hAnsi="Georgia"/>
                  <w:color w:val="105128"/>
                  <w:sz w:val="18"/>
                  <w:szCs w:val="18"/>
                  <w:rtl w:val="0"/>
                </w:rPr>
                <w:t xml:space="preserve">xT Report</w:t>
              </w:r>
            </w:p>
          </w:tc>
          <w:tc>
            <w:tcPr>
              <w:tc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w14:paraId="00000118">
              <w:pPr>
                <w:keepNext w:val="0"/>
                <w:keepLines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right"/>
                <w:rPr>
                  <w:rFonts w:ascii="Georgia" w:cs="Georgia" w:eastAsia="Georgia" w:hAnsi="Georgia"/>
                  <w:color w:val="105128"/>
                  <w:sz w:val="18"/>
                  <w:szCs w:val="18"/>
                </w:rPr>
              </w:pPr>
              <w:r>
                <w:rPr>
                  <w:rFonts w:ascii="Georgia" w:cs="Georgia" w:eastAsia="Georgia" w:hAnsi="Georgia"/>
                  <w:color w:val="105128"/>
                  <w:sz w:val="18"/>
                  <w:szCs w:val="18"/>
                </w:rPr>
                <w:fldChar w:fldCharType="begin"/>
                <w:instrText xml:space="preserve">PAGE</w:instrText>
                <w:fldChar w:fldCharType="separate"/>
                <w:fldChar w:fldCharType="end"/>
              </w:r>
              <w:r>
                <w:rPr>
                  <w:rtl w:val="0"/>
                </w:rPr>
              </w:r>
            </w:p>
          </w:tc>
        </w:tr>
      </w:tbl>
    </w:sdtContent>
  </w:sdt>
  <w:p w14:paraId="00000119">
    <w:pPr>
      <w:rPr>
        <w:color w:val="002715"/>
      </w:rPr>
    </w:pPr>
    <w:r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115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643" w:hanging="360"/>
      </w:pPr>
      <w:rPr/>
    </w:lvl>
    <w:lvl w:ilvl="1">
      <w:start w:val="1"/>
      <w:numFmt w:val="lowerLetter"/>
      <w:lvlText w:val="%2."/>
      <w:lvlJc w:val="left"/>
      <w:pPr>
        <w:ind w:left="1363" w:hanging="359.99999999999955"/>
      </w:pPr>
      <w:rPr/>
    </w:lvl>
    <w:lvl w:ilvl="2">
      <w:start w:val="1"/>
      <w:numFmt w:val="lowerRoman"/>
      <w:lvlText w:val="%3."/>
      <w:lvlJc w:val="right"/>
      <w:pPr>
        <w:ind w:left="2083" w:hanging="180"/>
      </w:pPr>
      <w:rPr/>
    </w:lvl>
    <w:lvl w:ilvl="3">
      <w:start w:val="1"/>
      <w:numFmt w:val="decimal"/>
      <w:lvlText w:val="%4."/>
      <w:lvlJc w:val="left"/>
      <w:pPr>
        <w:ind w:left="2803" w:hanging="360"/>
      </w:pPr>
      <w:rPr/>
    </w:lvl>
    <w:lvl w:ilvl="4">
      <w:start w:val="1"/>
      <w:numFmt w:val="lowerLetter"/>
      <w:lvlText w:val="%5."/>
      <w:lvlJc w:val="left"/>
      <w:pPr>
        <w:ind w:left="3523" w:hanging="360"/>
      </w:pPr>
      <w:rPr/>
    </w:lvl>
    <w:lvl w:ilvl="5">
      <w:start w:val="1"/>
      <w:numFmt w:val="lowerRoman"/>
      <w:lvlText w:val="%6."/>
      <w:lvlJc w:val="right"/>
      <w:pPr>
        <w:ind w:left="4243" w:hanging="180"/>
      </w:pPr>
      <w:rPr/>
    </w:lvl>
    <w:lvl w:ilvl="6">
      <w:start w:val="1"/>
      <w:numFmt w:val="decimal"/>
      <w:lvlText w:val="%7."/>
      <w:lvlJc w:val="left"/>
      <w:pPr>
        <w:ind w:left="4963" w:hanging="360"/>
      </w:pPr>
      <w:rPr/>
    </w:lvl>
    <w:lvl w:ilvl="7">
      <w:start w:val="1"/>
      <w:numFmt w:val="lowerLetter"/>
      <w:lvlText w:val="%8."/>
      <w:lvlJc w:val="left"/>
      <w:pPr>
        <w:ind w:left="5683" w:hanging="360"/>
      </w:pPr>
      <w:rPr/>
    </w:lvl>
    <w:lvl w:ilvl="8">
      <w:start w:val="1"/>
      <w:numFmt w:val="lowerRoman"/>
      <w:lvlText w:val="%9."/>
      <w:lvlJc w:val="right"/>
      <w:pPr>
        <w:ind w:left="6403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502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22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643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363" w:hanging="359.99999999999955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b w:val="1"/>
      <w:bCs w:val="1"/>
      <w:color w:val="1a703a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before="160" w:lineRule="auto"/>
      <w:jc w:val="center"/>
    </w:pPr>
    <w:rPr>
      <w:rFonts w:ascii="Georgia" w:cs="Georgia" w:eastAsia="Georgia" w:hAnsi="Georgia"/>
      <w:color w:val="592382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before="160" w:lineRule="auto"/>
      <w:jc w:val="center"/>
    </w:pPr>
    <w:rPr>
      <w:rFonts w:ascii="Georgia" w:cs="Georgia" w:eastAsia="Georgia" w:hAnsi="Georgia"/>
      <w:color w:val="592382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37233f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37233f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  <w:jc w:val="center"/>
    </w:pPr>
    <w:rPr>
      <w:b w:val="1"/>
      <w:bCs w:val="1"/>
      <w:color w:val="4a2e5f"/>
      <w:sz w:val="80"/>
      <w:szCs w:val="8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