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传入经销商的token也可以创建成功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bankAccountName</w:t>
      </w:r>
      <w:r>
        <w:rPr>
          <w:rFonts w:hint="eastAsia"/>
          <w:lang w:val="en-US" w:eastAsia="zh-CN"/>
        </w:rPr>
        <w:t>为账户名称，不是银行名称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msg中的“新增成功”改成“SUCCESS”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客户管理（平台）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http://172.30.206.58:9900/api-scf/customerManager/insert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msg错误，id应该在data中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WRhYTBlMjA2YmMxODEyN2E1NDM2NzBkMDYwNGUifQ=="/>
  </w:docVars>
  <w:rsids>
    <w:rsidRoot w:val="00000000"/>
    <w:rsid w:val="1B5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2022-07-18T02:57:35Z</dcterms:created>
  <dc:creator>220606202</dc:creator>
  <cp:lastModifiedBy>220606202</cp:lastModifiedBy>
  <dcterms:modified xsi:type="dcterms:W3CDTF">2022-07-18T03:42:53Z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4B28394C4B1444CD887EAFB6C2CCA3A2</vt:lpwstr>
  </property>
</Properties>
</file>