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九、技术响应偏离表</w:t>
      </w:r>
    </w:p>
    <w:p>
      <w:r>
        <w:rPr>
          <w:rFonts w:ascii="Times New Roman" w:hAnsi="Times New Roman" w:eastAsia="宋体"/>
          <w:b w:val="0"/>
          <w:sz w:val="24"/>
        </w:rPr>
        <w:t>项目名称：</w:t>
      </w:r>
    </w:p>
    <w:p>
      <w:r>
        <w:rPr>
          <w:rFonts w:ascii="Times New Roman" w:hAnsi="Times New Roman" w:eastAsia="宋体"/>
          <w:b w:val="0"/>
          <w:sz w:val="24"/>
        </w:rPr>
        <w:t>项目编号/包号：</w:t>
      </w:r>
    </w:p>
    <w:p>
      <w:r>
        <w:rPr>
          <w:rFonts w:ascii="Times New Roman" w:hAnsi="Times New Roman" w:eastAsia="宋体"/>
          <w:b w:val="0"/>
          <w:sz w:val="24"/>
        </w:rPr>
        <w:t>投标人名称（公章）：</w:t>
      </w:r>
    </w:p>
    <w:p>
      <w:r>
        <w:rPr>
          <w:rFonts w:ascii="Times New Roman" w:hAnsi="Times New Roman" w:eastAsia="宋体"/>
          <w:b w:val="0"/>
          <w:sz w:val="24"/>
        </w:rPr>
        <w:t>日      期：2026年10月27日</w:t>
      </w:r>
    </w:p>
    <w:p>
      <w:r>
        <w:rPr>
          <w:rFonts w:ascii="Times New Roman" w:hAnsi="Times New Roman" w:eastAsia="宋体"/>
          <w:b w:val="0"/>
          <w:color w:val="C00000"/>
          <w:sz w:val="18"/>
        </w:rPr>
        <w:t>注：本表由工具自动生成，【待人工确认】处必须人工核实填写后才能提交。响应内容只写“满足/符合”而无具体数值的，视为未实质性满足（投标无效）。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"/>
        <w:gridCol w:w="3175"/>
        <w:gridCol w:w="2948"/>
        <w:gridCol w:w="1077"/>
        <w:gridCol w:w="2381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招标文件技术要求条款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投标文件内容对应简述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响应情况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证明资料及索引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1. 国产超皮秒激光治疗仪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产地：国产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注册证 国械注准20243091854 第1页「注册人名称/生产地址」；</w:t>
              <w:br/>
              <w:t>营业执照 《伟思-营业执照（好乐章医美）》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在医疗机构中使用，通过输出激光将色素击碎，1064nm激光用于祛除蓝色或黑色文身的治疗，532nm激光用于良性表皮色素增加性疾病的治疗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激光波长及用途：1064nm祛除蓝色黑色文身，532nm治疗表皮色素性疾病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存疑（待人工）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注册证 国械注准20243091854 第1页「适用范围」；</w:t>
              <w:br/>
              <w:t>技术白皮书 第1页 前言；</w:t>
              <w:br/>
              <w:t>【缺证】上列资料不能完全覆盖本条要求，须补充后再引用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操作手柄≥3，光斑直径调节旋钮设置在激光输出手柄上，便于动态调节光斑大小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操作手柄：≥3个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配置清单 PicoV L280 配置01 序号4「治疗手柄 3个」；</w:t>
              <w:br/>
              <w:t>技术白皮书 第1页 第11条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激光工作物质:掺钕钇铝石榴石激光器(Nd:YAG激光器)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激光工作物质：Nd:YAG掺钕钇铝石榴石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第1条；</w:t>
              <w:br/>
              <w:t>使用说明书 第6页 2.2 工作原理及作用机理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激光波长：具有532nm或1064nm波长，允差±5nm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激光波长：532和1064nm 双波长，允差±5nm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序号1（条款2.1）；</w:t>
              <w:br/>
              <w:t>使用说明书 第13页 3.2.1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重复频率：1-10Hz，步进1Hz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重复频率：1~10Hz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序号10（条款2.10.2）；</w:t>
              <w:br/>
              <w:t>使用说明书 第14页 3.2.6.2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光斑直径可调：2-10mm，误差≤0.2mm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光斑直径：2~10mm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序号11（条款2.11）；</w:t>
              <w:br/>
              <w:t>技术白皮书 第1页 第6条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峰值功率≧1.7GW（第三方检测报告）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峰值功率：2.0GW（优于招标要求，详见证明资料）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序号7（条款2.7）；</w:t>
              <w:br/>
              <w:t>使用说明书 第14页 3.2.5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激光脉冲持续时间采用超短脉冲设计，脉冲脉宽≤250ps（第三方检测报告）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脉冲脉宽：≤248ps（优于招标要求，详见证明资料）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序号10（条款2.10.1）；</w:t>
              <w:br/>
              <w:t>使用说明书 第14页 3.2.6.1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最大能量密度： 16J/cm2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最大能量密度：16J/cm2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序号6（条款2.6）；</w:t>
              <w:br/>
              <w:t>使用说明书 第13页 3.2.4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1064nm 常规能量单脉冲模式最大输出能量≥500mj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常规能量单脉冲模式最大输出能量：≥500mj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序号5（条款2.5 终端激光脉冲能量）；</w:t>
              <w:br/>
              <w:t>技术白皮书 第1页 第9条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控制系统：≥10.1 英寸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控制系统：10.1英寸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第20条（并见第12条）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具有参数修正功能及升级接口，设备治疗参数存储记忆、故障语言显示、声音提示、主电源工作电压、出光次数计数、氙灯使用次数计数等功能；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功能配置：参数修正功能、治疗参数存储记忆、故障语言显示、声音提示、出光次数计数、氙灯使用次数计数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配置清单 PicoV L280 配置01 序号1-13（PicoV L280 配置01）；</w:t>
              <w:br/>
              <w:t>使用说明书 第7页 2.3 产品组成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532nm激光治疗端面能量密度0.13～7.75J/cm2。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532nm激光治疗端面能量密度：0.13~7.75J/cm2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序号6（条款2.6）532nm 行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1064nm激光治疗端面能量密度0.2～16J/cm2。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1064nm激光治疗端面能量密度：0.2~16J/cm2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序号6（条款2.6）1064nm 行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激光输出能量不稳定度≤±10%范围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激光输出能量不稳定度：≤10%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序号8（条款2.8）；</w:t>
              <w:br/>
              <w:t>使用说明书 第14页 3.2.7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激光输出复现性≥±10%范围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激光输出复现性：≤10%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序号9（条款2.9）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瞄准光输出功率&lt;3.5 mW（第三方检测报告）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瞄准光输出功率：≤3mW（优于招标要求，详见证明资料）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第5页 序号17（条款2.17.2）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瞄准光系统：650nm，亮度可调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瞄准光系统波长：650nm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第5页 序号17（条款2.17.1）；</w:t>
              <w:br/>
              <w:t>使用说明书 第13页 3.1 瞄准激光分类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激光输出发散角&lt;0.3 弧度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激光输出发散角：≤150mrad（优于招标要求，详见证明资料）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序号3（条款2.3）；</w:t>
              <w:br/>
              <w:t>使用说明书 第13页 3.2.2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脚踏开关：具有智能脚踏识别功能；脚踏开关防护等级≥IPX4（产品说明书）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脚踏开关防护等级：IPX8（优于招标要求，详见证明资料）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使用说明书 第13页 3.1「防进液程度分类」；</w:t>
              <w:br/>
              <w:t>检验报告 2024-GL-0320 第5页 序号20（条款2.21）；</w:t>
              <w:br/>
              <w:t>等3处，详见附二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传输方式：进口七关节重锤式导光臂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传输方式：七关节平衡式导光臂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存疑（待人工）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第10条；</w:t>
              <w:br/>
              <w:t>【缺证】上列资料不能完全覆盖本条要求，须补充后再引用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脉冲模式:单脉冲和重复脉冲双模式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脉冲模式：单脉冲和重复脉冲双模式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序号4（条款2.4）；</w:t>
              <w:br/>
              <w:t>使用说明书 第13页 3.2.3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具有参数修正功能及升级接口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参数修正功能及升级接口：具有参数修正功能及升级接口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第21条；</w:t>
              <w:br/>
              <w:t>使用说明书 第15页 3.3.1「设置功能」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双重冷却、自动变频散热系统：封闭嵌入式内循环水制冷，外循环强风冷却，内置双过滤洁净装置；自动变频，调节风速、风量、水流速度（提供第三方检测报告或专利号证明）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冷却系统：封闭嵌入式内循环水制冷，外循环强风冷却，双重制冷系统，内置双过滤洁净装置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第5页 序号19（条款2.19.1-2.19.4）；</w:t>
              <w:br/>
              <w:t>技术白皮书 第1页 第15条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一体化成型激光器:防震、防潮、防回光、耐温变，提高激光器使用寿命(提供第三方检测报告、激光器实物图片或相关证明材料）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【待人工确认】白皮书§3为一体化设计但未明确防震防潮防回光耐温变指标——需查检测报告后填写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存疑（待人工）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第3条；</w:t>
              <w:br/>
              <w:t>【缺证】上列资料不能完全覆盖本条要求，须补充后再引用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具有设备治疗参数存储记忆功能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设备治疗参数存储记忆功能：设备治疗参数存储记忆功能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第21条；</w:t>
              <w:br/>
              <w:t>使用说明书 第15页 3.3.1「方案管理功能」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电源需求：200-240VAC，50/60Hz,≥10A,输入功率1500VA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电源需求：200~240VAC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使用说明书 第13页 3.1「输入功率/额定输入电压」；</w:t>
              <w:br/>
              <w:t>技术白皮书 第1页 第24条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设备重量≥130KG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【待人工确认】说明书3.1/3.2、检验报告、彩页均未载明整机重量；原130KG仅见于内部需求对比表，无对外证明力，须产品部出证明——需查检测报告后填写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存疑（待人工）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【待补件】现有资料无法指向具体页码，见存疑清单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激光防护眼镜     产品应配置激光防护眼镜，需满足以下要求：激光防护眼镜上应标明防护的波长范围和光密度值。防护镜对激光输出波长的光密度：≥4；可见光透射比：≥30%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【待人工确认】光密度：响应内容需人工填写具体数值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存疑（待人工）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【待补件】现有资料无法指向具体页码，见存疑清单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29. 产品寿命≥10年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产品寿命：10年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【待建索引】该参数尚未在 evidence_map.json 中登记出处</w:t>
            </w:r>
          </w:p>
        </w:tc>
      </w:tr>
    </w:tbl>
    <w:p/>
    <w:p>
      <w:r>
        <w:rPr>
          <w:rFonts w:ascii="Times New Roman" w:hAnsi="Times New Roman" w:eastAsia="宋体"/>
          <w:b/>
          <w:sz w:val="26"/>
        </w:rPr>
        <w:t>附二、证明材料索引明细（评委核查用，可随投标文件一并提交）</w:t>
      </w:r>
    </w:p>
    <w:p>
      <w:r>
        <w:rPr>
          <w:rFonts w:ascii="Times New Roman" w:hAnsi="Times New Roman" w:eastAsia="宋体"/>
          <w:b w:val="0"/>
          <w:color w:val="606060"/>
          <w:sz w:val="18"/>
        </w:rPr>
        <w:t>说明：页码为原件印刷页码；检验报告 2024-GL-0320 原件共109页，说明书共30页。查证时按「文件→页码→序号/条款」逐级对应。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2041"/>
        <w:gridCol w:w="2835"/>
        <w:gridCol w:w="3288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要求条目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证明材料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索引位置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该处载明内容（数值）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1.产地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注册证 国械注准20243091854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第1页「注册人名称/生产地址」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南京伟思医疗科技股份有限公司，南京市雨花台区宁双路19号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营业执照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《伟思-营业执照（好乐章医美）》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随资质册提交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2.激光波长及用途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注册证 国械注准20243091854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第1页「适用范围」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532nm 激光用于治疗表皮良性色素增加性皮肤病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前言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去除蓝色、黑色等外源性色素文身（对应1064nm）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3.操作手柄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配置清单 PicoV L280 配置01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序号4「治疗手柄 3个」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标配手柄共3个，满足≥3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第11条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光电旋转手具，光斑直径调节旋钮设置在激光输出手柄上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4.激光工作物质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第1条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掺钕钇铝石榴石激光器（Nd:YAG）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第6页 2.2 工作原理及作用机理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种子晶体受LD泵浦源激发，产生1064nm微聚焦激光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5.激光波长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序号1（条款2.1）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532nm 和 1064nm，允差±5nm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3.2.1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532nm 和 1064nm，允差±5nm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6.重复频率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序号10（条款2.10.2）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设置范围1~10Hz，允差±20%，步进1Hz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第14页 3.2.6.2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1~10Hz，步进1Hz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7.光斑直径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序号11（条款2.11）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电动/手动变焦手柄 直径2~10mm，允差±20%，步进1mm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第6条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2-10mm 可调，步进1mm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8.峰值功率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序号7（条款2.7）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 2.00GW、532nm 1.01GW，允差±20%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第14页 3.2.5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 2.00GW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9.脉冲脉宽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序号10（条款2.10.1）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脉冲宽度标称值248ps，允差±20%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第14页 3.2.6.1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标称值248ps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10.最大能量密度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序号6（条款2.6）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 0.1~16J/cm²，532nm 0.1~7.75J/cm²，允差±20%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3.2.4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11.常规能量单脉冲模式最大输出能量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序号5（条款2.5 终端激光脉冲能量）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 30~490mJ、532nm 20~250mJ，允差±20%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第9条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1064nm≥500mJ（标称值，检测报告实测上限490mJ，投标以检测报告为准）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12.控制系统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第20条（并见第12条）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10.1英寸内嵌式彩色触摸屏；注：白皮书封面型号为L200，投L280须换对应版本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13.功能配置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配置清单 PicoV L280 配置01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序号1-13（PicoV L280 配置01）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主机、导光臂、脚踏开关、治疗手柄3个、防护眼镜、软件L02、授权卡、说明书等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第7页 2.3 产品组成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主机、导光臂、脚踏开关、手动变焦手柄、电动变焦手柄（选配）、皮肤智能识别套件（选配）、防护眼镜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14.532nm激光治疗端面能量密度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序号6（条款2.6）532nm 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0.1~7.75J/cm²，允差±20%，可调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15.1064nm激光治疗端面能量密度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序号6（条款2.6）1064nm 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0.1~16J/cm²，允差±20%，可调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16.激光输出能量不稳定度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序号8（条款2.8）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应优于±10%；实测1064nm -4.6%~+1.4%，532nm -4.8%~+3.5%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第14页 3.2.7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优于±10%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17.激光输出复现性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序号9（条款2.9）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应优于±10%；实测1064nm -0.2%~+1.8%，532nm -0.1%~+2.0%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18.瞄准光输出功率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第5页 序号17（条款2.17.2）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不大于3mW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19.瞄准光系统波长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第5页 序号17（条款2.17.1）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650nm，实测偏差4.3nm（≤±5nm）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3.1 瞄准激光分类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3R类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20.激光输出发散角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序号3（条款2.3）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电动/手动变焦手柄≤150mrad；实测1064nm 30.4~108.3mrad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3.2.2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≤150mrad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21.脚踏开关防护等级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3.1「防进液程度分类」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脚踏开关 IPX8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第5页 序号20（条款2.21）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脚踏开关符合YY/T1057-2016，见该标准部分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第22条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脚踏开关等级 IPX8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22.传输方式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第10条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七关节平衡式导光臂，无传输光纤等耗材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23.脉冲模式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序号4（条款2.4）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脉冲输出：单脉冲输出和重复脉冲输出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3.2.3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单脉冲和重复脉冲输出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24.参数修正功能及升级接口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第21条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具有参数修正功能及升级接口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第15页 3.3.1「设置功能」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能量校准、激光器参数设置、维护保养信息管理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25.冷却系统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第5页 序号19（条款2.19.1-2.19.4）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双循环水冷+强制风冷，故障停机、无渗漏、双重过滤、水温液位监测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第15条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封闭嵌入式内循环水制冷，外循环强风冷却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26.一体化成型激光器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第3条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主控振荡与功率放大一体化设计（防震/防潮/防回光/耐温变指标未载明，需补激光器实物图片）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27.设备治疗参数存储记忆功能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第21条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设备治疗参数存储记忆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第15页 3.3.1「方案管理功能」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方案新增/编辑/删除/搜索，支持不限数量或限制50条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28.电源需求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3.1「输入功率/额定输入电压」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输入功率1.5kVA；AC220V，50Hz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第24条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AC220V/50Hz，2.0kVA（与说明书1.5kVA口径不一致，投标前须统一）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29.设备重量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暂无出处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说明书3.1/3.2、检验报告、彩页均未载明整机重量，现有资料无法支撑≥130KG的响应值，须由产品部出具盖章参数证明或补充彩页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30.光密度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暂无出处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配置清单序号5仅列「防护眼镜1个」，未载明防护波长范围与光密度OD值、可见光透射比，须补充防护眼镜检测报告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31.产品寿命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暂无出处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索引库未登记</w:t>
            </w:r>
          </w:p>
        </w:tc>
      </w:tr>
    </w:tbl>
    <w:p/>
    <w:p>
      <w:r>
        <w:rPr>
          <w:rFonts w:ascii="Times New Roman" w:hAnsi="Times New Roman" w:eastAsia="宋体"/>
          <w:b/>
          <w:color w:val="C00000"/>
          <w:sz w:val="26"/>
        </w:rPr>
        <w:t>附：存疑条目清单（人工复核用，本页不随投标文件提交）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要求条目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存疑原因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建议去向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人工结论（填写）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在医疗机构中使用，通过输出激光将色素击碎，1064nm激光用于祛除蓝色或黑色文身的治疗，532nm激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功能类需人工比对：要求「在医疗机构中使用，通过输出激光将色素击碎」 vs 产品「1064nm祛除蓝色黑色文身，532nm」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注册证 国械注准20243091854 第1页「适用范围」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传输方式：进口七关节重锤式导光臂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功能类需人工比对：要求「传输方式：进口七关节重锤式导光臂」 vs 产品「七关节平衡式导光臂」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第10条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一体化成型激光器:防震、防潮、防回光、耐温变，提高激光器使用寿命(提供第三方检测报告、激光器实物图片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要求无数值，产品侧也无法直接比对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第3条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设备重量≥130KG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产品资料未披露该参数（说明书3.1/3.2、检验报告、彩页均未载明整机重量；原130KG仅见于内部需求对比表，无对外证明力，须产品部出证明）——需查检测报告或询问产品部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产品部出证：见附二该条「暂无出处」说明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激光防护眼镜     产品应配置激光防护眼镜，需满足以下要求：激光防护眼镜上应标明防护的波长范围和光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参数「光密度」未匹配到产品库（映射表需补充）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产品部出证：见附二该条「暂无出处」说明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