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宋体"/>
          <w:b/>
          <w:sz w:val="32"/>
        </w:rPr>
        <w:t>九、技术响应偏离表</w:t>
      </w:r>
    </w:p>
    <w:p>
      <w:r>
        <w:rPr>
          <w:rFonts w:ascii="Times New Roman" w:hAnsi="Times New Roman" w:eastAsia="宋体"/>
          <w:b w:val="0"/>
          <w:sz w:val="24"/>
        </w:rPr>
        <w:t>项目名称：</w:t>
      </w:r>
    </w:p>
    <w:p>
      <w:r>
        <w:rPr>
          <w:rFonts w:ascii="Times New Roman" w:hAnsi="Times New Roman" w:eastAsia="宋体"/>
          <w:b w:val="0"/>
          <w:sz w:val="24"/>
        </w:rPr>
        <w:t>项目编号/包号：</w:t>
      </w:r>
    </w:p>
    <w:p>
      <w:r>
        <w:rPr>
          <w:rFonts w:ascii="Times New Roman" w:hAnsi="Times New Roman" w:eastAsia="宋体"/>
          <w:b w:val="0"/>
          <w:sz w:val="24"/>
        </w:rPr>
        <w:t>投标人名称（公章）：</w:t>
      </w:r>
    </w:p>
    <w:p>
      <w:r>
        <w:rPr>
          <w:rFonts w:ascii="Times New Roman" w:hAnsi="Times New Roman" w:eastAsia="宋体"/>
          <w:b w:val="0"/>
          <w:sz w:val="24"/>
        </w:rPr>
        <w:t>日      期：2026年10月27日</w:t>
      </w:r>
    </w:p>
    <w:p>
      <w:r>
        <w:rPr>
          <w:rFonts w:ascii="Times New Roman" w:hAnsi="Times New Roman" w:eastAsia="宋体"/>
          <w:b w:val="0"/>
          <w:color w:val="C00000"/>
          <w:sz w:val="18"/>
        </w:rPr>
        <w:t>注：本表由工具自动生成，【待人工确认】处必须人工核实填写后才能提交。响应内容只写“满足/符合”而无具体数值的，视为未实质性满足（投标无效）。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3402"/>
        <w:gridCol w:w="3402"/>
        <w:gridCol w:w="1247"/>
        <w:gridCol w:w="19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招标文件技术要求条款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投标文件内容对应简述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响应情况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证明资料及索引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 国产超皮秒激光治疗仪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产地：国产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在医疗机构中使用，通过输出激光将色素击碎，1064nm激光用于祛除蓝色或黑色文身的治疗，532nm激光用于良性表皮色素增加性疾病的治疗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激光波长及用途：1064nm祛除蓝色黑色文身，532nm治疗表皮色素性疾病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操作手柄≥3，光斑直径调节旋钮设置在激光输出手柄上，便于动态调节光斑大小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【待人工确认】白皮书未披露手具数量——需查检测报告后填写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激光工作物质:掺钕钇铝石榴石激光器(Nd:YAG激光器)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激光工作物质：Nd:YAG掺钕钇铝石榴石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激光波长：具有532nm或1064nm波长，允差±5nm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激光波长：532和1064nm 双波长，允差±5nm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重复频率：1-10Hz，步进1Hz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重复频率：1~10Hz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光斑直径可调：2-10mm，误差≤0.2mm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光斑直径：2~10mm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峰值功率≧1.7GW（第三方检测报告）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峰值功率：2.0GW（优于招标要求，详见证明资料）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007030"/>
                <w:sz w:val="21"/>
              </w:rPr>
              <w:t>正偏离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激光脉冲持续时间采用超短脉冲设计，脉冲脉宽≤250ps（第三方检测报告）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【待人工确认】响应内容需人工填写具体数值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007030"/>
                <w:sz w:val="21"/>
              </w:rPr>
              <w:t>正偏离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最大能量密度： 16J/cm2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最大能量密度：16J/cm2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1064nm 常规能量单脉冲模式最大输出能量≥500mj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常规能量单脉冲模式最大输出能量：≥500mj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控制系统：≥10.1 英寸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控制系统：10.1英寸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具有参数修正功能及升级接口，设备治疗参数存储记忆、故障语言显示、声音提示、主电源工作电压、出光次数计数、氙灯使用次数计数等功能；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功能配置：参数修正功能、治疗参数存储记忆、故障语言显示、声音提示、出光次数计数、氙灯使用次数计数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532nm激光治疗端面能量密度0.13～7.75J/cm2。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532nm激光治疗端面能量密度：0.13~7.75J/cm2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1064nm激光治疗端面能量密度0.2～16J/cm2。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1064nm激光治疗端面能量密度：0.2~16J/cm2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激光输出能量不稳定度≤±10%范围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【待人工确认】白皮书未披露，需第三方检测报告——需查检测报告后填写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激光输出复现性≥±10%范围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【待人工确认】白皮书未披露，需第三方检测报告——需查检测报告后填写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瞄准光输出功率&lt;3.5 mW（第三方检测报告）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【待人工确认】白皮书仅写650nm亮度可调，未给功率值——需查检测报告后填写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瞄准光系统：650nm，亮度可调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瞄准光系统波长：650nm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激光输出发散角&lt;0.3 弧度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脚踏开关：具有智能脚踏识别功能；脚踏开关防护等级≥IPX4（产品说明书）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脚踏开关防护等级：IPX8（优于招标要求，详见证明资料）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007030"/>
                <w:sz w:val="21"/>
              </w:rPr>
              <w:t>正偏离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传输方式：进口七关节重锤式导光臂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传输方式：七关节平衡式导光臂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脉冲模式:单脉冲和重复脉冲双模式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脉冲模式：单脉冲和重复脉冲双模式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具有参数修正功能及升级接口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参数修正功能及升级接口：具有参数修正功能及升级接口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双重冷却、自动变频散热系统：封闭嵌入式内循环水制冷，外循环强风冷却，内置双过滤洁净装置；自动变频，调节风速、风量、水流速度（提供第三方检测报告或专利号证明）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冷却系统：封闭嵌入式内循环水制冷，外循环强风冷却，双重制冷系统，内置双过滤洁净装置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一体化成型激光器:防震、防潮、防回光、耐温变，提高激光器使用寿命(提供第三方检测报告、激光器实物图片或相关证明材料）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【待人工确认】白皮书§3为一体化设计但未明确防震防潮防回光耐温变指标——需查检测报告后填写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具有设备治疗参数存储记忆功能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设备治疗参数存储记忆功能：设备治疗参数存储记忆功能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电源需求：200-240VAC，50/60Hz,≥10A,输入功率1500VA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电源需求：200~240VAC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设备重量≥130KG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设备重量：≥130KG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激光防护眼镜     产品应配置激光防护眼镜，需满足以下要求：激光防护眼镜上应标明防护的波长范围和光密度值。防护镜对激光输出波长的光密度：≥4；可见光透射比：≥30%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【待人工确认】光密度：响应内容需人工填写具体数值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29. 产品寿命≥10年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产品寿命：10年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</w:tbl>
    <w:p/>
    <w:p>
      <w:r>
        <w:rPr>
          <w:rFonts w:ascii="Times New Roman" w:hAnsi="Times New Roman" w:eastAsia="宋体"/>
          <w:b/>
          <w:color w:val="C00000"/>
          <w:sz w:val="26"/>
        </w:rPr>
        <w:t>附：存疑条目清单（人工复核用，本页不随投标文件提交）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要求条目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存疑原因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建议去向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人工结论（填写）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在医疗机构中使用，通过输出激光将色素击碎，1064nm激光用于祛除蓝色或黑色文身的治疗，532nm激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功能类需人工比对：要求「在医疗机构中使用，通过输出激光将色素击碎」 vs 产品「1064nm祛除蓝色黑色文身，532nm」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操作手柄≥3，光斑直径调节旋钮设置在激光输出手柄上，便于动态调节光斑大小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产品资料未披露该参数（白皮书未披露手具数量）——需查检测报告或询问产品部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激光输出能量不稳定度≤±10%范围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要求无数值，产品侧也无法直接比对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激光输出复现性≥±10%范围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要求无数值，产品侧也无法直接比对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瞄准光输出功率&lt;3.5 mW（第三方检测报告）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产品资料未披露该参数（白皮书仅写650nm亮度可调，未给功率值）——需查检测报告或询问产品部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第三方检测报告 2024-GL-0320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激光输出发散角&lt;0.3 弧度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产品资料未披露该参数（白皮书未披露）——需查检测报告或询问产品部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传输方式：进口七关节重锤式导光臂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功能类需人工比对：要求「传输方式：进口七关节重锤式导光臂」 vs 产品「七关节平衡式导光臂」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一体化成型激光器:防震、防潮、防回光、耐温变，提高激光器使用寿命(提供第三方检测报告、激光器实物图片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要求无数值，产品侧也无法直接比对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第三方检测报告 2024-GL-0320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激光防护眼镜     产品应配置激光防护眼镜，需满足以下要求：激光防护眼镜上应标明防护的波长范围和光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参数「光密度」未匹配到产品库（映射表需补充）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