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282DD">
      <w:pPr>
        <w:pStyle w:val="30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数字银行核心业务模拟系统需求规格说明书</w:t>
      </w:r>
    </w:p>
    <w:p w14:paraId="157C284C">
      <w:pPr>
        <w:widowControl/>
      </w:pPr>
      <w:r>
        <w:t>实验一：需求分析与迭代规划｜整合版 v1.2</w:t>
      </w:r>
    </w:p>
    <w:p w14:paraId="3B07B9B8">
      <w:pPr>
        <w:widowControl/>
      </w:pPr>
      <w:r>
        <w:t>本说明书整合 S2 的账户与交易专项稿、S3 的角色与风控稿、S4 的《用户故事清单》及故事地图、S5 的候选类与 CRC；Backlog用于跟踪这些材料，不作为覆盖组员原稿的独立依据。需求讨论纪要中的不同编号和建议值仍须组内复核。各组员的完整分析稿作为需求追溯材料保留。</w:t>
      </w:r>
    </w:p>
    <w:p w14:paraId="1A04E532">
      <w:pPr>
        <w:pStyle w:val="3"/>
      </w:pPr>
      <w:r>
        <w:rPr>
          <w:rFonts w:ascii="微软雅黑" w:hAnsi="微软雅黑" w:eastAsia="微软雅黑" w:cs="微软雅黑"/>
          <w:b/>
          <w:sz w:val="28"/>
        </w:rPr>
        <w:t>1 项目概述与迭代规划</w:t>
      </w:r>
    </w:p>
    <w:p w14:paraId="092D0C08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1.1 项目背景与目标</w:t>
      </w:r>
    </w:p>
    <w:p w14:paraId="27D0FE4D">
      <w:pPr>
        <w:widowControl/>
      </w:pPr>
      <w:r>
        <w:rPr>
          <w:rFonts w:ascii="微软雅黑" w:hAnsi="微软雅黑" w:eastAsia="微软雅黑" w:cs="微软雅黑"/>
          <w:sz w:val="19"/>
        </w:rPr>
        <w:t>本项目选择选题一，拟开发数字银行核心业务模拟系统。随着常见银行业务转向线上，客户需要随时查看账户并办理资金业务，管理人员需要识别异常交易、限制风险账户。本项目用课程原型描述这些业务的正常与异常流程，重点验证账户资金变动的正确性、重复请求的处理方式，以及每笔资金变化的可追溯性。</w:t>
      </w:r>
    </w:p>
    <w:p w14:paraId="45C78D86">
      <w:pPr>
        <w:widowControl/>
      </w:pPr>
      <w:r>
        <w:t>系统面向客户、系统管理员、风控专员及运营人员。客户可以注册登录、维护实名信息、开立和注销符合条件的活期账户、查询账户状态与余额，办理存款、取款、本行转账和模拟跨行转账，并查询交易结果与流水。授权人员可冻结账户，运营人员依据解除结论解冻；风控人员可查看拦截记录。冻结账户不能发起新存款、取款、转账或接收新的行内转入，已受理交易仍须继续确认或恢复。同一请求重复提交不得产生第二次资金效果；本行转账双方资金变化必须同时成立；跨行转账通过模拟外部结果区分处理中、待确认、成功、恢复中和失败。</w:t>
      </w:r>
    </w:p>
    <w:p w14:paraId="766D127D">
      <w:pPr>
        <w:widowControl/>
      </w:pPr>
      <w:r>
        <w:rPr>
          <w:rFonts w:ascii="微软雅黑" w:hAnsi="微软雅黑" w:eastAsia="微软雅黑" w:cs="微软雅黑"/>
          <w:sz w:val="19"/>
        </w:rPr>
        <w:t>项目不对接真实银行、人民银行支付系统或银联，不涉及真实资金清算、利息、贷款、理财和生产级合规认证。实验一形成可检验的需求基线、用户故事、用例、活动图与领域概念，后续实验依据本说明书逐步完成架构设计、原型实现和测试。数字、限额及性能目标均为课程演示设定，不代表真实金融机构的业务标准。</w:t>
      </w:r>
    </w:p>
    <w:p w14:paraId="5D807FE5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1.2 范围与优先级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334"/>
      </w:tblGrid>
      <w:tr w14:paraId="09DC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EAF1F5"/>
            <w:vAlign w:val="center"/>
          </w:tcPr>
          <w:p>
            <w:r>
              <w:t>类别</w:t>
            </w:r>
          </w:p>
        </w:tc>
        <w:tc>
          <w:tcPr>
            <w:tcW w:w="8334" w:type="dxa"/>
            <w:shd w:val="clear" w:color="auto" w:fill="EAF1F5"/>
            <w:vAlign w:val="center"/>
          </w:tcPr>
          <w:p>
            <w:r>
              <w:t>内容</w:t>
            </w:r>
          </w:p>
        </w:tc>
      </w:tr>
      <w:tr w14:paraId="257C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r>
              <w:t>纳入分析</w:t>
            </w:r>
          </w:p>
        </w:tc>
        <w:tc>
          <w:tcPr>
            <w:tcW w:w="8334" w:type="dxa"/>
            <w:vAlign w:val="center"/>
          </w:tcPr>
          <w:p>
            <w:r>
              <w:t>客户注册与认证、账户开立/注销及查询、冻结/解冻、存取款、本行及模拟跨行转账、交易结果与流水查询、未决核对和失败恢复、基本风控。</w:t>
            </w:r>
          </w:p>
        </w:tc>
      </w:tr>
      <w:tr w14:paraId="7498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r>
              <w:t>待评审候选</w:t>
            </w:r>
          </w:p>
        </w:tc>
        <w:tc>
          <w:tcPr>
            <w:tcW w:w="8334" w:type="dxa"/>
            <w:vAlign w:val="center"/>
          </w:tcPr>
          <w:p>
            <w:r>
              <w:t>S4 综合草稿和 S5 候选类稿中的银行卡绑定、人脸识别、独立日终对账、监管报表等；专项材料尚未形成一致范围。</w:t>
            </w:r>
          </w:p>
        </w:tc>
      </w:tr>
      <w:tr w14:paraId="481F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r>
              <w:t>P0（专项稿）</w:t>
            </w:r>
          </w:p>
        </w:tc>
        <w:tc>
          <w:tcPr>
            <w:tcW w:w="8334" w:type="dxa"/>
            <w:vAlign w:val="center"/>
          </w:tcPr>
          <w:p>
            <w:r>
              <w:t>US-01、02、10—14、20—24、25、26、30、40—43；实验一的故事地图、用例与领域模型。S2 与 S4 建议先完成存款闭环。</w:t>
            </w:r>
          </w:p>
        </w:tc>
      </w:tr>
      <w:tr w14:paraId="18A2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r>
              <w:t>P1（专项稿）</w:t>
            </w:r>
          </w:p>
        </w:tc>
        <w:tc>
          <w:tcPr>
            <w:tcW w:w="8334" w:type="dxa"/>
            <w:vAlign w:val="center"/>
          </w:tcPr>
          <w:p>
            <w:r>
              <w:t>US-03—05、15、16、28、29、31、33；资料维护、授权管理、个人限额、操作记录、待确认核对和资金恢复等。</w:t>
            </w:r>
          </w:p>
        </w:tc>
      </w:tr>
      <w:tr w14:paraId="326B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>
            <w:r>
              <w:t>P2（专项稿）</w:t>
            </w:r>
          </w:p>
        </w:tc>
        <w:tc>
          <w:tcPr>
            <w:tcW w:w="8334" w:type="dxa"/>
            <w:vAlign w:val="center"/>
          </w:tcPr>
          <w:p>
            <w:r>
              <w:t>US-27、32、36；模拟回单、高频标记及风险告警处置。US-34、35 的实现优先级待组内确认。</w:t>
            </w:r>
          </w:p>
        </w:tc>
      </w:tr>
    </w:tbl>
    <w:p w14:paraId="6B5D4407">
      <w:pPr>
        <w:spacing w:after="20"/>
      </w:pPr>
    </w:p>
    <w:p w14:paraId="5CA1C0AE">
      <w:pPr>
        <w:widowControl/>
      </w:pPr>
      <w:r>
        <w:t>这些优先级来自 S2、S3 和 S4 的专项材料，仍须小组统一；不表示实验一就要实现所有 P0 功能。跨行转账、账户注销及未决处理均须在实验一分析。前端故事 US-40—43 是上述业务的交互入口，不重复列为独立业务用例。</w:t>
      </w:r>
    </w:p>
    <w:p w14:paraId="2210E6D8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1.3 用户故事地图</w:t>
      </w:r>
    </w:p>
    <w:p w14:paraId="78224DBD">
      <w:pPr>
        <w:widowControl/>
      </w:pPr>
      <w:r>
        <w:t>图 1-1 引用 S4 的完整故事地图。其 Must/Should/Could 分层与 S4《用户故事清单》共同作为优先级依据；S4 较早的综合草稿有不同口径，待组内复核。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2098"/>
        <w:gridCol w:w="2154"/>
        <w:gridCol w:w="2098"/>
        <w:gridCol w:w="2183"/>
      </w:tblGrid>
      <w:tr w14:paraId="7ADB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2" w:type="dxa"/>
            <w:shd w:val="clear" w:color="auto" w:fill="EAF1F5"/>
            <w:vAlign w:val="center"/>
          </w:tcPr>
          <w:p>
            <w:r>
              <w:t>用户活动</w:t>
            </w:r>
          </w:p>
        </w:tc>
        <w:tc>
          <w:tcPr>
            <w:tcW w:w="2098" w:type="dxa"/>
            <w:shd w:val="clear" w:color="auto" w:fill="EAF1F5"/>
            <w:vAlign w:val="center"/>
          </w:tcPr>
          <w:p>
            <w:r>
              <w:t>主要任务</w:t>
            </w:r>
          </w:p>
        </w:tc>
        <w:tc>
          <w:tcPr>
            <w:tcW w:w="2154" w:type="dxa"/>
            <w:shd w:val="clear" w:color="auto" w:fill="EAF1F5"/>
            <w:vAlign w:val="center"/>
          </w:tcPr>
          <w:p>
            <w:r>
              <w:t>P0 故事</w:t>
            </w:r>
          </w:p>
        </w:tc>
        <w:tc>
          <w:tcPr>
            <w:tcW w:w="2098" w:type="dxa"/>
            <w:shd w:val="clear" w:color="auto" w:fill="EAF1F5"/>
            <w:vAlign w:val="center"/>
          </w:tcPr>
          <w:p>
            <w:r>
              <w:t>P1 故事</w:t>
            </w:r>
          </w:p>
        </w:tc>
        <w:tc>
          <w:tcPr>
            <w:tcW w:w="2183" w:type="dxa"/>
            <w:shd w:val="clear" w:color="auto" w:fill="EAF1F5"/>
            <w:vAlign w:val="center"/>
          </w:tcPr>
          <w:p>
            <w:r>
              <w:t>P2 故事</w:t>
            </w:r>
          </w:p>
        </w:tc>
      </w:tr>
      <w:tr w14:paraId="105A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vAlign w:val="center"/>
          </w:tcPr>
          <w:p>
            <w:r>
              <w:t>进入系统</w:t>
            </w:r>
          </w:p>
        </w:tc>
        <w:tc>
          <w:tcPr>
            <w:tcW w:w="2098" w:type="dxa"/>
            <w:vAlign w:val="center"/>
          </w:tcPr>
          <w:p>
            <w:r>
              <w:t>注册、实名、登录</w:t>
            </w:r>
          </w:p>
        </w:tc>
        <w:tc>
          <w:tcPr>
            <w:tcW w:w="2154" w:type="dxa"/>
            <w:vAlign w:val="center"/>
          </w:tcPr>
          <w:p>
            <w:r>
              <w:t>US-01、US-02、US-40</w:t>
            </w:r>
          </w:p>
        </w:tc>
        <w:tc>
          <w:tcPr>
            <w:tcW w:w="2098" w:type="dxa"/>
            <w:vAlign w:val="center"/>
          </w:tcPr>
          <w:p>
            <w:r>
              <w:t>US-03 维护资料</w:t>
            </w:r>
          </w:p>
        </w:tc>
        <w:tc>
          <w:tcPr>
            <w:tcW w:w="2183" w:type="dxa"/>
            <w:vAlign w:val="center"/>
          </w:tcPr>
          <w:p>
            <w:r>
              <w:t>—</w:t>
            </w:r>
          </w:p>
        </w:tc>
      </w:tr>
      <w:tr w14:paraId="1564A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vAlign w:val="center"/>
          </w:tcPr>
          <w:p>
            <w:r>
              <w:t>管理账户</w:t>
            </w:r>
          </w:p>
        </w:tc>
        <w:tc>
          <w:tcPr>
            <w:tcW w:w="2098" w:type="dxa"/>
            <w:vAlign w:val="center"/>
          </w:tcPr>
          <w:p>
            <w:r>
              <w:t>开户、查询、冻结及注销</w:t>
            </w:r>
          </w:p>
        </w:tc>
        <w:tc>
          <w:tcPr>
            <w:tcW w:w="2154" w:type="dxa"/>
            <w:vAlign w:val="center"/>
          </w:tcPr>
          <w:p>
            <w:r>
              <w:t>US-10—14、US-41</w:t>
            </w:r>
          </w:p>
        </w:tc>
        <w:tc>
          <w:tcPr>
            <w:tcW w:w="2098" w:type="dxa"/>
            <w:vAlign w:val="center"/>
          </w:tcPr>
          <w:p>
            <w:r>
              <w:t>US-04、US-15、US-16</w:t>
            </w:r>
          </w:p>
        </w:tc>
        <w:tc>
          <w:tcPr>
            <w:tcW w:w="2183" w:type="dxa"/>
            <w:vAlign w:val="center"/>
          </w:tcPr>
          <w:p>
            <w:r>
              <w:t>—</w:t>
            </w:r>
          </w:p>
        </w:tc>
      </w:tr>
      <w:tr w14:paraId="1734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vAlign w:val="center"/>
          </w:tcPr>
          <w:p>
            <w:r>
              <w:t>办理交易</w:t>
            </w:r>
          </w:p>
        </w:tc>
        <w:tc>
          <w:tcPr>
            <w:tcW w:w="2098" w:type="dxa"/>
            <w:vAlign w:val="center"/>
          </w:tcPr>
          <w:p>
            <w:r>
              <w:t>存款、取款、本行与模拟跨行转账</w:t>
            </w:r>
          </w:p>
        </w:tc>
        <w:tc>
          <w:tcPr>
            <w:tcW w:w="2154" w:type="dxa"/>
            <w:vAlign w:val="center"/>
          </w:tcPr>
          <w:p>
            <w:r>
              <w:t>US-20—23、US-25、US-42</w:t>
            </w:r>
          </w:p>
        </w:tc>
        <w:tc>
          <w:tcPr>
            <w:tcW w:w="2098" w:type="dxa"/>
            <w:vAlign w:val="center"/>
          </w:tcPr>
          <w:p>
            <w:r>
              <w:t>US-28、US-29</w:t>
            </w:r>
          </w:p>
        </w:tc>
        <w:tc>
          <w:tcPr>
            <w:tcW w:w="2183" w:type="dxa"/>
            <w:vAlign w:val="center"/>
          </w:tcPr>
          <w:p>
            <w:r>
              <w:t>—</w:t>
            </w:r>
          </w:p>
        </w:tc>
      </w:tr>
      <w:tr w14:paraId="7CEB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vAlign w:val="center"/>
          </w:tcPr>
          <w:p>
            <w:r>
              <w:t>查看结果</w:t>
            </w:r>
          </w:p>
        </w:tc>
        <w:tc>
          <w:tcPr>
            <w:tcW w:w="2098" w:type="dxa"/>
            <w:vAlign w:val="center"/>
          </w:tcPr>
          <w:p>
            <w:r>
              <w:t>查询交易结果与资金流水</w:t>
            </w:r>
          </w:p>
        </w:tc>
        <w:tc>
          <w:tcPr>
            <w:tcW w:w="2154" w:type="dxa"/>
            <w:vAlign w:val="center"/>
          </w:tcPr>
          <w:p>
            <w:r>
              <w:t>US-11、US-24、US-26、US-43</w:t>
            </w:r>
          </w:p>
        </w:tc>
        <w:tc>
          <w:tcPr>
            <w:tcW w:w="2098" w:type="dxa"/>
            <w:vAlign w:val="center"/>
          </w:tcPr>
          <w:p>
            <w:r>
              <w:t>—</w:t>
            </w:r>
          </w:p>
        </w:tc>
        <w:tc>
          <w:tcPr>
            <w:tcW w:w="2183" w:type="dxa"/>
            <w:vAlign w:val="center"/>
          </w:tcPr>
          <w:p>
            <w:r>
              <w:t>US-27</w:t>
            </w:r>
          </w:p>
        </w:tc>
      </w:tr>
      <w:tr w14:paraId="1FF9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2" w:type="dxa"/>
            <w:vAlign w:val="center"/>
          </w:tcPr>
          <w:p>
            <w:r>
              <w:t>控制风险</w:t>
            </w:r>
          </w:p>
        </w:tc>
        <w:tc>
          <w:tcPr>
            <w:tcW w:w="2098" w:type="dxa"/>
            <w:vAlign w:val="center"/>
          </w:tcPr>
          <w:p>
            <w:r>
              <w:t>限额、拦截与风险记录</w:t>
            </w:r>
          </w:p>
        </w:tc>
        <w:tc>
          <w:tcPr>
            <w:tcW w:w="2154" w:type="dxa"/>
            <w:vAlign w:val="center"/>
          </w:tcPr>
          <w:p>
            <w:r>
              <w:t>US-13、US-30</w:t>
            </w:r>
          </w:p>
        </w:tc>
        <w:tc>
          <w:tcPr>
            <w:tcW w:w="2098" w:type="dxa"/>
            <w:vAlign w:val="center"/>
          </w:tcPr>
          <w:p>
            <w:r>
              <w:t>US-31、US-33</w:t>
            </w:r>
          </w:p>
        </w:tc>
        <w:tc>
          <w:tcPr>
            <w:tcW w:w="2183" w:type="dxa"/>
            <w:vAlign w:val="center"/>
          </w:tcPr>
          <w:p>
            <w:r>
              <w:t>US-32、US-36</w:t>
            </w:r>
          </w:p>
        </w:tc>
      </w:tr>
    </w:tbl>
    <w:p w14:paraId="7EB6BCF0">
      <w:pPr>
        <w:spacing w:after="20"/>
      </w:pPr>
    </w:p>
    <w:p w14:paraId="6074A465">
      <w:pPr>
        <w:keepNext/>
        <w:spacing w:after="60"/>
        <w:jc w:val="center"/>
      </w:pPr>
      <w:r>
        <w:drawing>
          <wp:inline distT="0" distB="0" distL="114300" distR="114300">
            <wp:extent cx="6299835" cy="354330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E006">
      <w:pPr>
        <w:widowControl/>
        <w:spacing w:after="160"/>
        <w:jc w:val="center"/>
      </w:pPr>
      <w:r>
        <w:t>图 1-1 S4 用户故事地图。账户注销属 Must，回单属 Could；图中的发布切片是产品增量规划，与下文按课程实验划分的 Sprint 不逐项等同。其他候选故事与《用户故事清单》不一致时保留待评审。</w:t>
      </w:r>
    </w:p>
    <w:p w14:paraId="4A763AAA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1.4 迭代规划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502"/>
        <w:gridCol w:w="4535"/>
        <w:gridCol w:w="2551"/>
      </w:tblGrid>
      <w:tr w14:paraId="123B6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6" w:type="dxa"/>
            <w:shd w:val="clear" w:color="auto" w:fill="EAF1F5"/>
            <w:vAlign w:val="center"/>
          </w:tcPr>
          <w:p>
            <w:r>
              <w:t>迭代</w:t>
            </w:r>
          </w:p>
        </w:tc>
        <w:tc>
          <w:tcPr>
            <w:tcW w:w="1502" w:type="dxa"/>
            <w:shd w:val="clear" w:color="auto" w:fill="EAF1F5"/>
            <w:vAlign w:val="center"/>
          </w:tcPr>
          <w:p>
            <w:r>
              <w:t>周期</w:t>
            </w:r>
          </w:p>
        </w:tc>
        <w:tc>
          <w:tcPr>
            <w:tcW w:w="4535" w:type="dxa"/>
            <w:shd w:val="clear" w:color="auto" w:fill="EAF1F5"/>
            <w:vAlign w:val="center"/>
          </w:tcPr>
          <w:p>
            <w:r>
              <w:t>目标与验收切片</w:t>
            </w:r>
          </w:p>
        </w:tc>
        <w:tc>
          <w:tcPr>
            <w:tcW w:w="2551" w:type="dxa"/>
            <w:shd w:val="clear" w:color="auto" w:fill="EAF1F5"/>
            <w:vAlign w:val="center"/>
          </w:tcPr>
          <w:p>
            <w:r>
              <w:t>交付物</w:t>
            </w:r>
          </w:p>
        </w:tc>
      </w:tr>
      <w:tr w14:paraId="39AE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Sprint 0</w:t>
            </w:r>
          </w:p>
        </w:tc>
        <w:tc>
          <w:tcPr>
            <w:tcW w:w="1502" w:type="dxa"/>
            <w:vAlign w:val="center"/>
          </w:tcPr>
          <w:p>
            <w:r>
              <w:t>第 1 周</w:t>
            </w:r>
          </w:p>
        </w:tc>
        <w:tc>
          <w:tcPr>
            <w:tcW w:w="4535" w:type="dxa"/>
            <w:vAlign w:val="center"/>
          </w:tcPr>
          <w:p>
            <w:r>
              <w:t>选题、协作规范和初始需求</w:t>
            </w:r>
          </w:p>
        </w:tc>
        <w:tc>
          <w:tcPr>
            <w:tcW w:w="2551" w:type="dxa"/>
            <w:vAlign w:val="center"/>
          </w:tcPr>
          <w:p>
            <w:r>
              <w:t>项目说明、初始 Backlog</w:t>
            </w:r>
          </w:p>
        </w:tc>
      </w:tr>
      <w:tr w14:paraId="532C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Sprint 1（实验一）</w:t>
            </w:r>
          </w:p>
        </w:tc>
        <w:tc>
          <w:tcPr>
            <w:tcW w:w="1502" w:type="dxa"/>
            <w:vAlign w:val="center"/>
          </w:tcPr>
          <w:p>
            <w:r>
              <w:t>第 1—2 周</w:t>
            </w:r>
          </w:p>
        </w:tc>
        <w:tc>
          <w:tcPr>
            <w:tcW w:w="4535" w:type="dxa"/>
            <w:vAlign w:val="center"/>
          </w:tcPr>
          <w:p>
            <w:r>
              <w:t>确认业务范围，完成需求分析与规划</w:t>
            </w:r>
          </w:p>
        </w:tc>
        <w:tc>
          <w:tcPr>
            <w:tcW w:w="2551" w:type="dxa"/>
            <w:vAlign w:val="center"/>
          </w:tcPr>
          <w:p>
            <w:r>
              <w:t>本说明书、故事地图、用例及分析模型</w:t>
            </w:r>
          </w:p>
        </w:tc>
      </w:tr>
      <w:tr w14:paraId="7E7AB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Sprint 2（实验二）</w:t>
            </w:r>
          </w:p>
        </w:tc>
        <w:tc>
          <w:tcPr>
            <w:tcW w:w="1502" w:type="dxa"/>
            <w:vAlign w:val="center"/>
          </w:tcPr>
          <w:p>
            <w:r>
              <w:t>第 3 周</w:t>
            </w:r>
          </w:p>
        </w:tc>
        <w:tc>
          <w:tcPr>
            <w:tcW w:w="4535" w:type="dxa"/>
            <w:vAlign w:val="center"/>
          </w:tcPr>
          <w:p>
            <w:r>
              <w:t>比较架构方案，完成设计模型</w:t>
            </w:r>
          </w:p>
        </w:tc>
        <w:tc>
          <w:tcPr>
            <w:tcW w:w="2551" w:type="dxa"/>
            <w:vAlign w:val="center"/>
          </w:tcPr>
          <w:p>
            <w:r>
              <w:t>架构决策、包图、部署图、序列图、数据库设计</w:t>
            </w:r>
          </w:p>
        </w:tc>
      </w:tr>
      <w:tr w14:paraId="3DA75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Sprint 3（实验三）</w:t>
            </w:r>
          </w:p>
        </w:tc>
        <w:tc>
          <w:tcPr>
            <w:tcW w:w="1502" w:type="dxa"/>
            <w:vAlign w:val="center"/>
          </w:tcPr>
          <w:p>
            <w:r>
              <w:t>第 4-5 周</w:t>
            </w:r>
          </w:p>
        </w:tc>
        <w:tc>
          <w:tcPr>
            <w:tcW w:w="4535" w:type="dxa"/>
            <w:vAlign w:val="center"/>
          </w:tcPr>
          <w:p>
            <w:r>
              <w:t>先打通注册/开户/存款/查询，再扩展其他核心业务</w:t>
            </w:r>
          </w:p>
        </w:tc>
        <w:tc>
          <w:tcPr>
            <w:tcW w:w="2551" w:type="dxa"/>
            <w:vAlign w:val="center"/>
          </w:tcPr>
          <w:p>
            <w:r>
              <w:t>可运行原型及存款端到端演示</w:t>
            </w:r>
          </w:p>
        </w:tc>
      </w:tr>
      <w:tr w14:paraId="311E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Sprint 4（实验四）</w:t>
            </w:r>
          </w:p>
        </w:tc>
        <w:tc>
          <w:tcPr>
            <w:tcW w:w="1502" w:type="dxa"/>
            <w:vAlign w:val="center"/>
          </w:tcPr>
          <w:p>
            <w:r>
              <w:t>第 6-7 周</w:t>
            </w:r>
          </w:p>
        </w:tc>
        <w:tc>
          <w:tcPr>
            <w:tcW w:w="4535" w:type="dxa"/>
            <w:vAlign w:val="center"/>
          </w:tcPr>
          <w:p>
            <w:r>
              <w:t>验证成功和异常场景，整理部署方案</w:t>
            </w:r>
          </w:p>
        </w:tc>
        <w:tc>
          <w:tcPr>
            <w:tcW w:w="2551" w:type="dxa"/>
            <w:vAlign w:val="center"/>
          </w:tcPr>
          <w:p>
            <w:r>
              <w:t>测试用例、记录、部署方案和定稿报告</w:t>
            </w:r>
          </w:p>
        </w:tc>
      </w:tr>
    </w:tbl>
    <w:p w14:paraId="29F9709F">
      <w:pPr>
        <w:spacing w:after="20"/>
      </w:pPr>
    </w:p>
    <w:p w14:paraId="67C9124A">
      <w:pPr>
        <w:widowControl/>
      </w:pPr>
      <w:bookmarkStart w:id="0" w:name="_GoBack"/>
      <w:bookmarkEnd w:id="0"/>
      <w:r>
        <w:rPr>
          <w:rFonts w:ascii="微软雅黑" w:hAnsi="微软雅黑" w:eastAsia="微软雅黑" w:cs="微软雅黑"/>
          <w:sz w:val="19"/>
        </w:rPr>
        <w:t>每轮结束核对可展示的增量及文档，发现的范围或规则变更由 S1 统一记录并通知相关负责人。</w:t>
      </w:r>
    </w:p>
    <w:p w14:paraId="1F0CDBE4">
      <w:pPr>
        <w:pStyle w:val="3"/>
      </w:pPr>
      <w:r>
        <w:rPr>
          <w:rFonts w:ascii="微软雅黑" w:hAnsi="微软雅黑" w:eastAsia="微软雅黑" w:cs="微软雅黑"/>
          <w:b/>
          <w:sz w:val="28"/>
        </w:rPr>
        <w:t>2 系统用例分析</w:t>
      </w:r>
    </w:p>
    <w:p w14:paraId="47BDD9BF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2.1 角色分析</w:t>
      </w:r>
    </w:p>
    <w:p w14:paraId="265FCB95">
      <w:pPr>
        <w:widowControl/>
      </w:pPr>
      <w:r>
        <w:rPr>
          <w:rFonts w:ascii="微软雅黑" w:hAnsi="微软雅黑" w:eastAsia="微软雅黑" w:cs="微软雅黑"/>
          <w:sz w:val="19"/>
        </w:rPr>
        <w:t>表 1-1 角色列表。系统内部的账户、交易和风控模块是功能边界，不作为外部参与者。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502"/>
        <w:gridCol w:w="4535"/>
        <w:gridCol w:w="2551"/>
      </w:tblGrid>
      <w:tr w14:paraId="74C4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6" w:type="dxa"/>
            <w:shd w:val="clear" w:color="auto" w:fill="EAF1F5"/>
            <w:vAlign w:val="center"/>
          </w:tcPr>
          <w:p>
            <w:r>
              <w:t>编号</w:t>
            </w:r>
          </w:p>
        </w:tc>
        <w:tc>
          <w:tcPr>
            <w:tcW w:w="1502" w:type="dxa"/>
            <w:shd w:val="clear" w:color="auto" w:fill="EAF1F5"/>
            <w:vAlign w:val="center"/>
          </w:tcPr>
          <w:p>
            <w:r>
              <w:t>角色</w:t>
            </w:r>
          </w:p>
        </w:tc>
        <w:tc>
          <w:tcPr>
            <w:tcW w:w="4535" w:type="dxa"/>
            <w:shd w:val="clear" w:color="auto" w:fill="EAF1F5"/>
            <w:vAlign w:val="center"/>
          </w:tcPr>
          <w:p>
            <w:r>
              <w:t>所属部门或身份</w:t>
            </w:r>
          </w:p>
        </w:tc>
        <w:tc>
          <w:tcPr>
            <w:tcW w:w="2551" w:type="dxa"/>
            <w:shd w:val="clear" w:color="auto" w:fill="EAF1F5"/>
            <w:vAlign w:val="center"/>
          </w:tcPr>
          <w:p>
            <w:r>
              <w:t>职责与权限边界</w:t>
            </w:r>
          </w:p>
        </w:tc>
      </w:tr>
      <w:tr w14:paraId="5BC3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ACT-C</w:t>
            </w:r>
          </w:p>
        </w:tc>
        <w:tc>
          <w:tcPr>
            <w:tcW w:w="1502" w:type="dxa"/>
            <w:vAlign w:val="center"/>
          </w:tcPr>
          <w:p>
            <w:r>
              <w:t>客户</w:t>
            </w:r>
          </w:p>
        </w:tc>
        <w:tc>
          <w:tcPr>
            <w:tcW w:w="4535" w:type="dxa"/>
            <w:vAlign w:val="center"/>
          </w:tcPr>
          <w:p>
            <w:r>
              <w:t>个人用户</w:t>
            </w:r>
          </w:p>
        </w:tc>
        <w:tc>
          <w:tcPr>
            <w:tcW w:w="2551" w:type="dxa"/>
            <w:vAlign w:val="center"/>
          </w:tcPr>
          <w:p>
            <w:r>
              <w:t>办理本人账户与交易，查询本人余额、状态和流水。</w:t>
            </w:r>
          </w:p>
        </w:tc>
      </w:tr>
      <w:tr w14:paraId="5DF4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ACT-S</w:t>
            </w:r>
          </w:p>
        </w:tc>
        <w:tc>
          <w:tcPr>
            <w:tcW w:w="1502" w:type="dxa"/>
            <w:vAlign w:val="center"/>
          </w:tcPr>
          <w:p>
            <w:r>
              <w:t>系统管理员</w:t>
            </w:r>
          </w:p>
        </w:tc>
        <w:tc>
          <w:tcPr>
            <w:tcW w:w="4535" w:type="dxa"/>
            <w:vAlign w:val="center"/>
          </w:tcPr>
          <w:p>
            <w:r>
              <w:t>模拟银行系统管理</w:t>
            </w:r>
          </w:p>
        </w:tc>
        <w:tc>
          <w:tcPr>
            <w:tcW w:w="2551" w:type="dxa"/>
            <w:vAlign w:val="center"/>
          </w:tcPr>
          <w:p>
            <w:r>
              <w:t>分配角色与数据授权范围，不直接读取客户业务明细或修改资金余额。</w:t>
            </w:r>
          </w:p>
        </w:tc>
      </w:tr>
      <w:tr w14:paraId="4B6E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ACT-R</w:t>
            </w:r>
          </w:p>
        </w:tc>
        <w:tc>
          <w:tcPr>
            <w:tcW w:w="1502" w:type="dxa"/>
            <w:vAlign w:val="center"/>
          </w:tcPr>
          <w:p>
            <w:r>
              <w:t>风控专员</w:t>
            </w:r>
          </w:p>
        </w:tc>
        <w:tc>
          <w:tcPr>
            <w:tcW w:w="4535" w:type="dxa"/>
            <w:vAlign w:val="center"/>
          </w:tcPr>
          <w:p>
            <w:r>
              <w:t>模拟银行风控</w:t>
            </w:r>
          </w:p>
        </w:tc>
        <w:tc>
          <w:tcPr>
            <w:tcW w:w="2551" w:type="dxa"/>
            <w:vAlign w:val="center"/>
          </w:tcPr>
          <w:p>
            <w:r>
              <w:t>在授权范围内查看风险记录、因风险冻结账户并记录原因；可提供解除依据，但不直接解冻。</w:t>
            </w:r>
          </w:p>
        </w:tc>
      </w:tr>
      <w:tr w14:paraId="24F62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ACT-O</w:t>
            </w:r>
          </w:p>
        </w:tc>
        <w:tc>
          <w:tcPr>
            <w:tcW w:w="1502" w:type="dxa"/>
            <w:vAlign w:val="center"/>
          </w:tcPr>
          <w:p>
            <w:r>
              <w:t>运营人员</w:t>
            </w:r>
          </w:p>
        </w:tc>
        <w:tc>
          <w:tcPr>
            <w:tcW w:w="4535" w:type="dxa"/>
            <w:vAlign w:val="center"/>
          </w:tcPr>
          <w:p>
            <w:r>
              <w:t>模拟银行运营</w:t>
            </w:r>
          </w:p>
        </w:tc>
        <w:tc>
          <w:tcPr>
            <w:tcW w:w="2551" w:type="dxa"/>
            <w:vAlign w:val="center"/>
          </w:tcPr>
          <w:p>
            <w:r>
              <w:t>在授权范围内查看客户列表、执行冻结/解冻；不得手工改余额或凭超时认定交易成功。</w:t>
            </w:r>
          </w:p>
        </w:tc>
      </w:tr>
      <w:tr w14:paraId="04331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ACT-F</w:t>
            </w:r>
          </w:p>
        </w:tc>
        <w:tc>
          <w:tcPr>
            <w:tcW w:w="1502" w:type="dxa"/>
            <w:vAlign w:val="center"/>
          </w:tcPr>
          <w:p>
            <w:r>
              <w:t>模拟资金渠道</w:t>
            </w:r>
          </w:p>
        </w:tc>
        <w:tc>
          <w:tcPr>
            <w:tcW w:w="4535" w:type="dxa"/>
            <w:vAlign w:val="center"/>
          </w:tcPr>
          <w:p>
            <w:r>
              <w:t>系统外的教学模拟器</w:t>
            </w:r>
          </w:p>
        </w:tc>
        <w:tc>
          <w:tcPr>
            <w:tcW w:w="2551" w:type="dxa"/>
            <w:vAlign w:val="center"/>
          </w:tcPr>
          <w:p>
            <w:r>
              <w:t>为存取款返回受理、成功、失败或结果未知，不代表真实银行通道。</w:t>
            </w:r>
          </w:p>
        </w:tc>
      </w:tr>
      <w:tr w14:paraId="3899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ACT-B</w:t>
            </w:r>
          </w:p>
        </w:tc>
        <w:tc>
          <w:tcPr>
            <w:tcW w:w="1502" w:type="dxa"/>
            <w:vAlign w:val="center"/>
          </w:tcPr>
          <w:p>
            <w:r>
              <w:t>模拟外部银行</w:t>
            </w:r>
          </w:p>
        </w:tc>
        <w:tc>
          <w:tcPr>
            <w:tcW w:w="4535" w:type="dxa"/>
            <w:vAlign w:val="center"/>
          </w:tcPr>
          <w:p>
            <w:r>
              <w:t>系统外的教学模拟器</w:t>
            </w:r>
          </w:p>
        </w:tc>
        <w:tc>
          <w:tcPr>
            <w:tcW w:w="2551" w:type="dxa"/>
            <w:vAlign w:val="center"/>
          </w:tcPr>
          <w:p>
            <w:r>
              <w:t>为跨行转账返回模拟清算结果。</w:t>
            </w:r>
          </w:p>
        </w:tc>
      </w:tr>
    </w:tbl>
    <w:p w14:paraId="15C7B6A3">
      <w:pPr>
        <w:spacing w:after="20"/>
      </w:pPr>
    </w:p>
    <w:p w14:paraId="5BC57CEF">
      <w:pPr>
        <w:widowControl/>
      </w:pPr>
      <w:r>
        <w:t>S3 原稿还列出柜员、风控主管和审计员，用于规则审批、只读查询等用例；是否纳入首个原型由小组确认。客户资料及交易仅本人可见；后台人员还须检查具体数据授权范围。</w:t>
      </w:r>
    </w:p>
    <w:p w14:paraId="3E783488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2.2 基本用例列表</w:t>
      </w:r>
    </w:p>
    <w:p w14:paraId="4C20CDDD">
      <w:pPr>
        <w:widowControl/>
      </w:pPr>
      <w:r>
        <w:t>表 1-2 沿用 S2 的 UC-AC-*、UC-TR-* 编号，并列出 S3 的认证与风控用例。幂等、余额与限额校验是多个用例共享的步骤，不另算客户基本用例。S3 的规则配置、风险名单和告警处置已列为候选用例，优先级仍待小组确认。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1"/>
        <w:gridCol w:w="1219"/>
        <w:gridCol w:w="709"/>
        <w:gridCol w:w="1134"/>
        <w:gridCol w:w="4479"/>
      </w:tblGrid>
      <w:tr w14:paraId="35E0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AF1F5"/>
            <w:vAlign w:val="center"/>
          </w:tcPr>
          <w:p>
            <w:r>
              <w:t>编号</w:t>
            </w:r>
          </w:p>
        </w:tc>
        <w:tc>
          <w:tcPr>
            <w:tcW w:w="1361" w:type="dxa"/>
            <w:shd w:val="clear" w:color="auto" w:fill="EAF1F5"/>
            <w:vAlign w:val="center"/>
          </w:tcPr>
          <w:p>
            <w:r>
              <w:t>基本用例</w:t>
            </w:r>
          </w:p>
        </w:tc>
        <w:tc>
          <w:tcPr>
            <w:tcW w:w="1219" w:type="dxa"/>
            <w:shd w:val="clear" w:color="auto" w:fill="EAF1F5"/>
            <w:vAlign w:val="center"/>
          </w:tcPr>
          <w:p>
            <w:r>
              <w:t>主要角色</w:t>
            </w:r>
          </w:p>
        </w:tc>
        <w:tc>
          <w:tcPr>
            <w:tcW w:w="709" w:type="dxa"/>
            <w:shd w:val="clear" w:color="auto" w:fill="EAF1F5"/>
            <w:vAlign w:val="center"/>
          </w:tcPr>
          <w:p>
            <w:r>
              <w:t>优先级</w:t>
            </w:r>
          </w:p>
        </w:tc>
        <w:tc>
          <w:tcPr>
            <w:tcW w:w="1134" w:type="dxa"/>
            <w:shd w:val="clear" w:color="auto" w:fill="EAF1F5"/>
            <w:vAlign w:val="center"/>
          </w:tcPr>
          <w:p>
            <w:r>
              <w:t>对应故事</w:t>
            </w:r>
          </w:p>
        </w:tc>
        <w:tc>
          <w:tcPr>
            <w:tcW w:w="4479" w:type="dxa"/>
            <w:shd w:val="clear" w:color="auto" w:fill="EAF1F5"/>
            <w:vAlign w:val="center"/>
          </w:tcPr>
          <w:p>
            <w:r>
              <w:t>简要描述</w:t>
            </w:r>
          </w:p>
        </w:tc>
      </w:tr>
      <w:tr w14:paraId="64CEF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UC-ID-01</w:t>
            </w:r>
          </w:p>
        </w:tc>
        <w:tc>
          <w:tcPr>
            <w:tcW w:w="1361" w:type="dxa"/>
            <w:vAlign w:val="center"/>
          </w:tcPr>
          <w:p>
            <w:r>
              <w:t>注册与实名认证</w:t>
            </w:r>
          </w:p>
        </w:tc>
        <w:tc>
          <w:tcPr>
            <w:tcW w:w="1219" w:type="dxa"/>
            <w:vAlign w:val="center"/>
          </w:tcPr>
          <w:p>
            <w:r>
              <w:t>客户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US-01</w:t>
            </w:r>
          </w:p>
        </w:tc>
        <w:tc>
          <w:tcPr>
            <w:tcW w:w="4479" w:type="dxa"/>
            <w:vAlign w:val="center"/>
          </w:tcPr>
          <w:p>
            <w:r>
              <w:t>建立客户身份与模拟实名信息。</w:t>
            </w:r>
          </w:p>
        </w:tc>
      </w:tr>
      <w:tr w14:paraId="23FFC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UC-AU-01</w:t>
            </w:r>
          </w:p>
        </w:tc>
        <w:tc>
          <w:tcPr>
            <w:tcW w:w="1361" w:type="dxa"/>
            <w:vAlign w:val="center"/>
          </w:tcPr>
          <w:p>
            <w:r>
              <w:t>登录系统</w:t>
            </w:r>
          </w:p>
        </w:tc>
        <w:tc>
          <w:tcPr>
            <w:tcW w:w="1219" w:type="dxa"/>
            <w:vAlign w:val="center"/>
          </w:tcPr>
          <w:p>
            <w:r>
              <w:t>客户、后台人员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US-02</w:t>
            </w:r>
          </w:p>
        </w:tc>
        <w:tc>
          <w:tcPr>
            <w:tcW w:w="4479" w:type="dxa"/>
            <w:vAlign w:val="center"/>
          </w:tcPr>
          <w:p>
            <w:r>
              <w:t>校验身份并进入授权功能。</w:t>
            </w:r>
          </w:p>
        </w:tc>
      </w:tr>
      <w:tr w14:paraId="5CC5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UC-ID-03</w:t>
            </w:r>
          </w:p>
        </w:tc>
        <w:tc>
          <w:tcPr>
            <w:tcW w:w="1361" w:type="dxa"/>
            <w:vAlign w:val="center"/>
          </w:tcPr>
          <w:p>
            <w:r>
              <w:t>维护个人资料</w:t>
            </w:r>
          </w:p>
        </w:tc>
        <w:tc>
          <w:tcPr>
            <w:tcW w:w="1219" w:type="dxa"/>
            <w:vAlign w:val="center"/>
          </w:tcPr>
          <w:p>
            <w:r>
              <w:t>客户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US-03</w:t>
            </w:r>
          </w:p>
        </w:tc>
        <w:tc>
          <w:tcPr>
            <w:tcW w:w="4479" w:type="dxa"/>
            <w:vAlign w:val="center"/>
          </w:tcPr>
          <w:p>
            <w:r>
              <w:t>查询和修改允许变更的本人资料。</w:t>
            </w:r>
          </w:p>
        </w:tc>
      </w:tr>
      <w:tr w14:paraId="4AD5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UC-AU-02</w:t>
            </w:r>
          </w:p>
        </w:tc>
        <w:tc>
          <w:tcPr>
            <w:tcW w:w="1361" w:type="dxa"/>
            <w:vAlign w:val="center"/>
          </w:tcPr>
          <w:p>
            <w:r>
              <w:t>管理角色与权限</w:t>
            </w:r>
          </w:p>
        </w:tc>
        <w:tc>
          <w:tcPr>
            <w:tcW w:w="1219" w:type="dxa"/>
            <w:vAlign w:val="center"/>
          </w:tcPr>
          <w:p>
            <w:r>
              <w:t>系统管理员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US-05</w:t>
            </w:r>
          </w:p>
        </w:tc>
        <w:tc>
          <w:tcPr>
            <w:tcW w:w="4479" w:type="dxa"/>
            <w:vAlign w:val="center"/>
          </w:tcPr>
          <w:p>
            <w:r>
              <w:t>分配岗位、角色与数据授权范围。</w:t>
            </w:r>
          </w:p>
        </w:tc>
      </w:tr>
      <w:tr w14:paraId="7CD9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UC-AC-01</w:t>
            </w:r>
          </w:p>
        </w:tc>
        <w:tc>
          <w:tcPr>
            <w:tcW w:w="1361" w:type="dxa"/>
            <w:vAlign w:val="center"/>
          </w:tcPr>
          <w:p>
            <w:r>
              <w:t>开立活期账户</w:t>
            </w:r>
          </w:p>
        </w:tc>
        <w:tc>
          <w:tcPr>
            <w:tcW w:w="1219" w:type="dxa"/>
            <w:vAlign w:val="center"/>
          </w:tcPr>
          <w:p>
            <w:r>
              <w:t>客户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US-10</w:t>
            </w:r>
          </w:p>
        </w:tc>
        <w:tc>
          <w:tcPr>
            <w:tcW w:w="4479" w:type="dxa"/>
            <w:vAlign w:val="center"/>
          </w:tcPr>
          <w:p>
            <w:r>
              <w:t>建立唯一账户号；最多三个未注销账户。</w:t>
            </w:r>
          </w:p>
        </w:tc>
      </w:tr>
      <w:tr w14:paraId="7748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UC-AC-02</w:t>
            </w:r>
          </w:p>
        </w:tc>
        <w:tc>
          <w:tcPr>
            <w:tcW w:w="1361" w:type="dxa"/>
            <w:vAlign w:val="center"/>
          </w:tcPr>
          <w:p>
            <w:r>
              <w:t>查询账户列表</w:t>
            </w:r>
          </w:p>
        </w:tc>
        <w:tc>
          <w:tcPr>
            <w:tcW w:w="1219" w:type="dxa"/>
            <w:vAlign w:val="center"/>
          </w:tcPr>
          <w:p>
            <w:r>
              <w:t>客户、授权后台人员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US-12</w:t>
            </w:r>
          </w:p>
        </w:tc>
        <w:tc>
          <w:tcPr>
            <w:tcW w:w="4479" w:type="dxa"/>
            <w:vAlign w:val="center"/>
          </w:tcPr>
          <w:p>
            <w:r>
              <w:t>按本人或授权范围返回账户列表。</w:t>
            </w:r>
          </w:p>
        </w:tc>
      </w:tr>
      <w:tr w14:paraId="255BD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UC-AC-03</w:t>
            </w:r>
          </w:p>
        </w:tc>
        <w:tc>
          <w:tcPr>
            <w:tcW w:w="1361" w:type="dxa"/>
            <w:vAlign w:val="center"/>
          </w:tcPr>
          <w:p>
            <w:r>
              <w:t>查询账户详情</w:t>
            </w:r>
          </w:p>
        </w:tc>
        <w:tc>
          <w:tcPr>
            <w:tcW w:w="1219" w:type="dxa"/>
            <w:vAlign w:val="center"/>
          </w:tcPr>
          <w:p>
            <w:r>
              <w:t>客户、授权后台人员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US-11</w:t>
            </w:r>
          </w:p>
        </w:tc>
        <w:tc>
          <w:tcPr>
            <w:tcW w:w="4479" w:type="dxa"/>
            <w:vAlign w:val="center"/>
          </w:tcPr>
          <w:p>
            <w:r>
              <w:t>查询归属、币种、状态和适当信息。</w:t>
            </w:r>
          </w:p>
        </w:tc>
      </w:tr>
      <w:tr w14:paraId="3343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UC-AC-04</w:t>
            </w:r>
          </w:p>
        </w:tc>
        <w:tc>
          <w:tcPr>
            <w:tcW w:w="1361" w:type="dxa"/>
            <w:vAlign w:val="center"/>
          </w:tcPr>
          <w:p>
            <w:r>
              <w:t>查询余额</w:t>
            </w:r>
          </w:p>
        </w:tc>
        <w:tc>
          <w:tcPr>
            <w:tcW w:w="1219" w:type="dxa"/>
            <w:vAlign w:val="center"/>
          </w:tcPr>
          <w:p>
            <w:r>
              <w:t>客户、授权后台人员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US-11、US-41</w:t>
            </w:r>
          </w:p>
        </w:tc>
        <w:tc>
          <w:tcPr>
            <w:tcW w:w="4479" w:type="dxa"/>
            <w:vAlign w:val="center"/>
          </w:tcPr>
          <w:p>
            <w:r>
              <w:t>展示账面余额、占用金额与可用余额。</w:t>
            </w:r>
          </w:p>
        </w:tc>
      </w:tr>
      <w:tr w14:paraId="3630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UC-AC-05</w:t>
            </w:r>
          </w:p>
        </w:tc>
        <w:tc>
          <w:tcPr>
            <w:tcW w:w="1361" w:type="dxa"/>
            <w:vAlign w:val="center"/>
          </w:tcPr>
          <w:p>
            <w:r>
              <w:t>冻结账户</w:t>
            </w:r>
          </w:p>
        </w:tc>
        <w:tc>
          <w:tcPr>
            <w:tcW w:w="1219" w:type="dxa"/>
            <w:vAlign w:val="center"/>
          </w:tcPr>
          <w:p>
            <w:r>
              <w:t>风控专员、运营人员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US-13</w:t>
            </w:r>
          </w:p>
        </w:tc>
        <w:tc>
          <w:tcPr>
            <w:tcW w:w="4479" w:type="dxa"/>
            <w:vAlign w:val="center"/>
          </w:tcPr>
          <w:p>
            <w:r>
              <w:t>记录来源和原因，禁止新收付；已受理业务继续。</w:t>
            </w:r>
          </w:p>
        </w:tc>
      </w:tr>
      <w:tr w14:paraId="1501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UC-AC-06</w:t>
            </w:r>
          </w:p>
        </w:tc>
        <w:tc>
          <w:tcPr>
            <w:tcW w:w="1361" w:type="dxa"/>
            <w:vAlign w:val="center"/>
          </w:tcPr>
          <w:p>
            <w:r>
              <w:t>解冻账户</w:t>
            </w:r>
          </w:p>
        </w:tc>
        <w:tc>
          <w:tcPr>
            <w:tcW w:w="1219" w:type="dxa"/>
            <w:vAlign w:val="center"/>
          </w:tcPr>
          <w:p>
            <w:r>
              <w:t>运营人员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US-13</w:t>
            </w:r>
          </w:p>
        </w:tc>
        <w:tc>
          <w:tcPr>
            <w:tcW w:w="4479" w:type="dxa"/>
            <w:vAlign w:val="center"/>
          </w:tcPr>
          <w:p>
            <w:r>
              <w:t>全部有效限制解除后恢复账户并留痕。</w:t>
            </w:r>
          </w:p>
        </w:tc>
      </w:tr>
      <w:tr w14:paraId="5649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UC-AC-07</w:t>
            </w:r>
          </w:p>
        </w:tc>
        <w:tc>
          <w:tcPr>
            <w:tcW w:w="1361" w:type="dxa"/>
            <w:vAlign w:val="center"/>
          </w:tcPr>
          <w:p>
            <w:r>
              <w:t>注销账户</w:t>
            </w:r>
          </w:p>
        </w:tc>
        <w:tc>
          <w:tcPr>
            <w:tcW w:w="1219" w:type="dxa"/>
            <w:vAlign w:val="center"/>
          </w:tcPr>
          <w:p>
            <w:r>
              <w:t>客户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US-14</w:t>
            </w:r>
          </w:p>
        </w:tc>
        <w:tc>
          <w:tcPr>
            <w:tcW w:w="4479" w:type="dxa"/>
            <w:vAlign w:val="center"/>
          </w:tcPr>
          <w:p>
            <w:r>
              <w:t>零余额、零占用且无未决业务时关闭账户。</w:t>
            </w:r>
          </w:p>
        </w:tc>
      </w:tr>
      <w:tr w14:paraId="1385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UC-AC-08</w:t>
            </w:r>
          </w:p>
        </w:tc>
        <w:tc>
          <w:tcPr>
            <w:tcW w:w="1361" w:type="dxa"/>
            <w:vAlign w:val="center"/>
          </w:tcPr>
          <w:p>
            <w:r>
              <w:t>设置个人交易限额</w:t>
            </w:r>
          </w:p>
        </w:tc>
        <w:tc>
          <w:tcPr>
            <w:tcW w:w="1219" w:type="dxa"/>
            <w:vAlign w:val="center"/>
          </w:tcPr>
          <w:p>
            <w:r>
              <w:t>客户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US-15</w:t>
            </w:r>
          </w:p>
        </w:tc>
        <w:tc>
          <w:tcPr>
            <w:tcW w:w="4479" w:type="dxa"/>
            <w:vAlign w:val="center"/>
          </w:tcPr>
          <w:p>
            <w:r>
              <w:t>在系统上限内设置本人付款账户限额。</w:t>
            </w:r>
          </w:p>
        </w:tc>
      </w:tr>
      <w:tr w14:paraId="5D5F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UC-AC-09</w:t>
            </w:r>
          </w:p>
        </w:tc>
        <w:tc>
          <w:tcPr>
            <w:tcW w:w="1361" w:type="dxa"/>
            <w:vAlign w:val="center"/>
          </w:tcPr>
          <w:p>
            <w:r>
              <w:t>查询账户操作记录</w:t>
            </w:r>
          </w:p>
        </w:tc>
        <w:tc>
          <w:tcPr>
            <w:tcW w:w="1219" w:type="dxa"/>
            <w:vAlign w:val="center"/>
          </w:tcPr>
          <w:p>
            <w:r>
              <w:t>客户、授权后台人员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US-16</w:t>
            </w:r>
          </w:p>
        </w:tc>
        <w:tc>
          <w:tcPr>
            <w:tcW w:w="4479" w:type="dxa"/>
            <w:vAlign w:val="center"/>
          </w:tcPr>
          <w:p>
            <w:r>
              <w:t>查询开户、冻结、解冻、注销等操作记录。</w:t>
            </w:r>
          </w:p>
        </w:tc>
      </w:tr>
      <w:tr w14:paraId="2CC3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UC-OP-01</w:t>
            </w:r>
          </w:p>
        </w:tc>
        <w:tc>
          <w:tcPr>
            <w:tcW w:w="1361" w:type="dxa"/>
            <w:vAlign w:val="center"/>
          </w:tcPr>
          <w:p>
            <w:r>
              <w:t>查看客户列表</w:t>
            </w:r>
          </w:p>
        </w:tc>
        <w:tc>
          <w:tcPr>
            <w:tcW w:w="1219" w:type="dxa"/>
            <w:vAlign w:val="center"/>
          </w:tcPr>
          <w:p>
            <w:r>
              <w:t>运营人员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US-04</w:t>
            </w:r>
          </w:p>
        </w:tc>
        <w:tc>
          <w:tcPr>
            <w:tcW w:w="4479" w:type="dxa"/>
            <w:vAlign w:val="center"/>
          </w:tcPr>
          <w:p>
            <w:r>
              <w:t>在授权范围内查看客户及账户状态。</w:t>
            </w:r>
          </w:p>
        </w:tc>
      </w:tr>
      <w:tr w14:paraId="4E61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UC-TR-01</w:t>
            </w:r>
          </w:p>
        </w:tc>
        <w:tc>
          <w:tcPr>
            <w:tcW w:w="1361" w:type="dxa"/>
            <w:vAlign w:val="center"/>
          </w:tcPr>
          <w:p>
            <w:r>
              <w:t>存款</w:t>
            </w:r>
          </w:p>
        </w:tc>
        <w:tc>
          <w:tcPr>
            <w:tcW w:w="1219" w:type="dxa"/>
            <w:vAlign w:val="center"/>
          </w:tcPr>
          <w:p>
            <w:r>
              <w:t>客户、模拟资金渠道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US-20、US-42</w:t>
            </w:r>
          </w:p>
        </w:tc>
        <w:tc>
          <w:tcPr>
            <w:tcW w:w="4479" w:type="dxa"/>
            <w:vAlign w:val="center"/>
          </w:tcPr>
          <w:p>
            <w:r>
              <w:t>渠道明确成功后只入账一次并生成流水。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UC-TR-02</w:t>
            </w:r>
          </w:p>
        </w:tc>
        <w:tc>
          <w:tcPr>
            <w:tcW w:w="1361" w:type="dxa"/>
            <w:vAlign w:val="center"/>
          </w:tcPr>
          <w:p>
            <w:r>
              <w:t>取款</w:t>
            </w:r>
          </w:p>
        </w:tc>
        <w:tc>
          <w:tcPr>
            <w:tcW w:w="1219" w:type="dxa"/>
            <w:vAlign w:val="center"/>
          </w:tcPr>
          <w:p>
            <w:r>
              <w:t>客户、模拟资金渠道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US-21、US-42</w:t>
            </w:r>
          </w:p>
        </w:tc>
        <w:tc>
          <w:tcPr>
            <w:tcW w:w="4479" w:type="dxa"/>
            <w:vAlign w:val="center"/>
          </w:tcPr>
          <w:p>
            <w:r>
              <w:t>校验余额与风控；成功扣款，失败释放占用。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UC-TR-03</w:t>
            </w:r>
          </w:p>
        </w:tc>
        <w:tc>
          <w:tcPr>
            <w:tcW w:w="1361" w:type="dxa"/>
            <w:vAlign w:val="center"/>
          </w:tcPr>
          <w:p>
            <w:r>
              <w:t>本行转账</w:t>
            </w:r>
          </w:p>
        </w:tc>
        <w:tc>
          <w:tcPr>
            <w:tcW w:w="1219" w:type="dxa"/>
            <w:vAlign w:val="center"/>
          </w:tcPr>
          <w:p>
            <w:r>
              <w:t>客户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US-22、US-42</w:t>
            </w:r>
          </w:p>
        </w:tc>
        <w:tc>
          <w:tcPr>
            <w:tcW w:w="4479" w:type="dxa"/>
            <w:vAlign w:val="center"/>
          </w:tcPr>
          <w:p>
            <w:r>
              <w:t>付款与收款账户资金及流水一致。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UC-TR-04</w:t>
            </w:r>
          </w:p>
        </w:tc>
        <w:tc>
          <w:tcPr>
            <w:tcW w:w="1361" w:type="dxa"/>
            <w:vAlign w:val="center"/>
          </w:tcPr>
          <w:p>
            <w:r>
              <w:t>跨行转账</w:t>
            </w:r>
          </w:p>
        </w:tc>
        <w:tc>
          <w:tcPr>
            <w:tcW w:w="1219" w:type="dxa"/>
            <w:vAlign w:val="center"/>
          </w:tcPr>
          <w:p>
            <w:r>
              <w:t>客户、模拟外部银行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US-23、US-42</w:t>
            </w:r>
          </w:p>
        </w:tc>
        <w:tc>
          <w:tcPr>
            <w:tcW w:w="4479" w:type="dxa"/>
            <w:vAlign w:val="center"/>
          </w:tcPr>
          <w:p>
            <w:r>
              <w:t>区分处理、待确认、成功、恢复中和失败。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UC-TR-05</w:t>
            </w:r>
          </w:p>
        </w:tc>
        <w:tc>
          <w:tcPr>
            <w:tcW w:w="1361" w:type="dxa"/>
            <w:vAlign w:val="center"/>
          </w:tcPr>
          <w:p>
            <w:r>
              <w:t>查询交易结果</w:t>
            </w:r>
          </w:p>
        </w:tc>
        <w:tc>
          <w:tcPr>
            <w:tcW w:w="1219" w:type="dxa"/>
            <w:vAlign w:val="center"/>
          </w:tcPr>
          <w:p>
            <w:r>
              <w:t>客户、运营人员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US-26</w:t>
            </w:r>
          </w:p>
        </w:tc>
        <w:tc>
          <w:tcPr>
            <w:tcW w:w="4479" w:type="dxa"/>
            <w:vAlign w:val="center"/>
          </w:tcPr>
          <w:p>
            <w:r>
              <w:t>查询有权访问的交易当前状态。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UC-TR-06</w:t>
            </w:r>
          </w:p>
        </w:tc>
        <w:tc>
          <w:tcPr>
            <w:tcW w:w="1361" w:type="dxa"/>
            <w:vAlign w:val="center"/>
          </w:tcPr>
          <w:p>
            <w:r>
              <w:t>查询交易流水</w:t>
            </w:r>
          </w:p>
        </w:tc>
        <w:tc>
          <w:tcPr>
            <w:tcW w:w="1219" w:type="dxa"/>
            <w:vAlign w:val="center"/>
          </w:tcPr>
          <w:p>
            <w:r>
              <w:t>客户、运营人员</w:t>
            </w:r>
          </w:p>
        </w:tc>
        <w:tc>
          <w:tcPr>
            <w:tcW w:w="709" w:type="dxa"/>
            <w:vAlign w:val="center"/>
          </w:tcPr>
          <w:p>
            <w:r>
              <w:t>P0</w:t>
            </w:r>
          </w:p>
        </w:tc>
        <w:tc>
          <w:tcPr>
            <w:tcW w:w="1134" w:type="dxa"/>
            <w:vAlign w:val="center"/>
          </w:tcPr>
          <w:p>
            <w:r>
              <w:t>US-24、US-43</w:t>
            </w:r>
          </w:p>
        </w:tc>
        <w:tc>
          <w:tcPr>
            <w:tcW w:w="4479" w:type="dxa"/>
            <w:vAlign w:val="center"/>
          </w:tcPr>
          <w:p>
            <w:r>
              <w:t>查询实际资金记录，区别于处理记录。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UC-TR-07</w:t>
            </w:r>
          </w:p>
        </w:tc>
        <w:tc>
          <w:tcPr>
            <w:tcW w:w="1361" w:type="dxa"/>
            <w:vAlign w:val="center"/>
          </w:tcPr>
          <w:p>
            <w:r>
              <w:t>下载交易回单</w:t>
            </w:r>
          </w:p>
        </w:tc>
        <w:tc>
          <w:tcPr>
            <w:tcW w:w="1219" w:type="dxa"/>
            <w:vAlign w:val="center"/>
          </w:tcPr>
          <w:p>
            <w:r>
              <w:t>客户、运营人员</w:t>
            </w:r>
          </w:p>
        </w:tc>
        <w:tc>
          <w:tcPr>
            <w:tcW w:w="709" w:type="dxa"/>
            <w:vAlign w:val="center"/>
          </w:tcPr>
          <w:p>
            <w:r>
              <w:t>P2</w:t>
            </w:r>
          </w:p>
        </w:tc>
        <w:tc>
          <w:tcPr>
            <w:tcW w:w="1134" w:type="dxa"/>
            <w:vAlign w:val="center"/>
          </w:tcPr>
          <w:p>
            <w:r>
              <w:t>US-27</w:t>
            </w:r>
          </w:p>
        </w:tc>
        <w:tc>
          <w:tcPr>
            <w:tcW w:w="4479" w:type="dxa"/>
            <w:vAlign w:val="center"/>
          </w:tcPr>
          <w:p>
            <w:r>
              <w:t>为已成功交易生成模拟凭证。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UC-TR-08</w:t>
            </w:r>
          </w:p>
        </w:tc>
        <w:tc>
          <w:tcPr>
            <w:tcW w:w="1361" w:type="dxa"/>
            <w:vAlign w:val="center"/>
          </w:tcPr>
          <w:p>
            <w:r>
              <w:t>核对待确认交易</w:t>
            </w:r>
          </w:p>
        </w:tc>
        <w:tc>
          <w:tcPr>
            <w:tcW w:w="1219" w:type="dxa"/>
            <w:vAlign w:val="center"/>
          </w:tcPr>
          <w:p>
            <w:r>
              <w:t>运营人员、模拟渠道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US-28</w:t>
            </w:r>
          </w:p>
        </w:tc>
        <w:tc>
          <w:tcPr>
            <w:tcW w:w="4479" w:type="dxa"/>
            <w:vAlign w:val="center"/>
          </w:tcPr>
          <w:p>
            <w:r>
              <w:t>查询外部稳定结果，推进未决业务。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UC-TR-09</w:t>
            </w:r>
          </w:p>
        </w:tc>
        <w:tc>
          <w:tcPr>
            <w:tcW w:w="1361" w:type="dxa"/>
            <w:vAlign w:val="center"/>
          </w:tcPr>
          <w:p>
            <w:r>
              <w:t>重试资金恢复</w:t>
            </w:r>
          </w:p>
        </w:tc>
        <w:tc>
          <w:tcPr>
            <w:tcW w:w="1219" w:type="dxa"/>
            <w:vAlign w:val="center"/>
          </w:tcPr>
          <w:p>
            <w:r>
              <w:t>运营人员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US-29</w:t>
            </w:r>
          </w:p>
        </w:tc>
        <w:tc>
          <w:tcPr>
            <w:tcW w:w="4479" w:type="dxa"/>
            <w:vAlign w:val="center"/>
          </w:tcPr>
          <w:p>
            <w:r>
              <w:t>对有明确失败依据的交易重试恢复。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UC-RK-01</w:t>
            </w:r>
          </w:p>
        </w:tc>
        <w:tc>
          <w:tcPr>
            <w:tcW w:w="1361" w:type="dxa"/>
            <w:vAlign w:val="center"/>
          </w:tcPr>
          <w:p>
            <w:r>
              <w:t>配置风控规则</w:t>
            </w:r>
          </w:p>
        </w:tc>
        <w:tc>
          <w:tcPr>
            <w:tcW w:w="1219" w:type="dxa"/>
            <w:vAlign w:val="center"/>
          </w:tcPr>
          <w:p>
            <w:r>
              <w:t>风控专员、风控主管</w:t>
            </w:r>
          </w:p>
        </w:tc>
        <w:tc>
          <w:tcPr>
            <w:tcW w:w="709" w:type="dxa"/>
            <w:vAlign w:val="center"/>
          </w:tcPr>
          <w:p>
            <w:r>
              <w:t>待定</w:t>
            </w:r>
          </w:p>
        </w:tc>
        <w:tc>
          <w:tcPr>
            <w:tcW w:w="1134" w:type="dxa"/>
            <w:vAlign w:val="center"/>
          </w:tcPr>
          <w:p>
            <w:r>
              <w:t>US-34</w:t>
            </w:r>
          </w:p>
        </w:tc>
        <w:tc>
          <w:tcPr>
            <w:tcW w:w="4479" w:type="dxa"/>
            <w:vAlign w:val="center"/>
          </w:tcPr>
          <w:p>
            <w:r>
              <w:t>申请、审批和留痕，按授权执行。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UC-RK-02</w:t>
            </w:r>
          </w:p>
        </w:tc>
        <w:tc>
          <w:tcPr>
            <w:tcW w:w="1361" w:type="dxa"/>
            <w:vAlign w:val="center"/>
          </w:tcPr>
          <w:p>
            <w:r>
              <w:t>维护风险名单</w:t>
            </w:r>
          </w:p>
        </w:tc>
        <w:tc>
          <w:tcPr>
            <w:tcW w:w="1219" w:type="dxa"/>
            <w:vAlign w:val="center"/>
          </w:tcPr>
          <w:p>
            <w:r>
              <w:t>风控专员、风控主管</w:t>
            </w:r>
          </w:p>
        </w:tc>
        <w:tc>
          <w:tcPr>
            <w:tcW w:w="709" w:type="dxa"/>
            <w:vAlign w:val="center"/>
          </w:tcPr>
          <w:p>
            <w:r>
              <w:t>待定</w:t>
            </w:r>
          </w:p>
        </w:tc>
        <w:tc>
          <w:tcPr>
            <w:tcW w:w="1134" w:type="dxa"/>
            <w:vAlign w:val="center"/>
          </w:tcPr>
          <w:p>
            <w:r>
              <w:t>US-35</w:t>
            </w:r>
          </w:p>
        </w:tc>
        <w:tc>
          <w:tcPr>
            <w:tcW w:w="4479" w:type="dxa"/>
            <w:vAlign w:val="center"/>
          </w:tcPr>
          <w:p>
            <w:r>
              <w:t>申请、审批和留痕，按授权执行。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UC-RK-03</w:t>
            </w:r>
          </w:p>
        </w:tc>
        <w:tc>
          <w:tcPr>
            <w:tcW w:w="1361" w:type="dxa"/>
            <w:vAlign w:val="center"/>
          </w:tcPr>
          <w:p>
            <w:r>
              <w:t>处置风险告警</w:t>
            </w:r>
          </w:p>
        </w:tc>
        <w:tc>
          <w:tcPr>
            <w:tcW w:w="1219" w:type="dxa"/>
            <w:vAlign w:val="center"/>
          </w:tcPr>
          <w:p>
            <w:r>
              <w:t>风控专员</w:t>
            </w:r>
          </w:p>
        </w:tc>
        <w:tc>
          <w:tcPr>
            <w:tcW w:w="709" w:type="dxa"/>
            <w:vAlign w:val="center"/>
          </w:tcPr>
          <w:p>
            <w:r>
              <w:t>P2</w:t>
            </w:r>
          </w:p>
        </w:tc>
        <w:tc>
          <w:tcPr>
            <w:tcW w:w="1134" w:type="dxa"/>
            <w:vAlign w:val="center"/>
          </w:tcPr>
          <w:p>
            <w:r>
              <w:t>US-36</w:t>
            </w:r>
          </w:p>
        </w:tc>
        <w:tc>
          <w:tcPr>
            <w:tcW w:w="4479" w:type="dxa"/>
            <w:vAlign w:val="center"/>
          </w:tcPr>
          <w:p>
            <w:r>
              <w:t>跟踪并记录风险告警处置结果。</w:t>
            </w:r>
          </w:p>
        </w:tc>
      </w:tr>
      <w:tr w14:paraId="205B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r>
              <w:t>UC-RK-04</w:t>
            </w:r>
          </w:p>
        </w:tc>
        <w:tc>
          <w:tcPr>
            <w:tcW w:w="1361" w:type="dxa"/>
            <w:vAlign w:val="center"/>
          </w:tcPr>
          <w:p>
            <w:r>
              <w:t>查询风险记录</w:t>
            </w:r>
          </w:p>
        </w:tc>
        <w:tc>
          <w:tcPr>
            <w:tcW w:w="1219" w:type="dxa"/>
            <w:vAlign w:val="center"/>
          </w:tcPr>
          <w:p>
            <w:r>
              <w:t>风控专员、授权人员</w:t>
            </w:r>
          </w:p>
        </w:tc>
        <w:tc>
          <w:tcPr>
            <w:tcW w:w="709" w:type="dxa"/>
            <w:vAlign w:val="center"/>
          </w:tcPr>
          <w:p>
            <w:r>
              <w:t>P1</w:t>
            </w:r>
          </w:p>
        </w:tc>
        <w:tc>
          <w:tcPr>
            <w:tcW w:w="1134" w:type="dxa"/>
            <w:vAlign w:val="center"/>
          </w:tcPr>
          <w:p>
            <w:r>
              <w:t>US-33</w:t>
            </w:r>
          </w:p>
        </w:tc>
        <w:tc>
          <w:tcPr>
            <w:tcW w:w="4479" w:type="dxa"/>
            <w:vAlign w:val="center"/>
          </w:tcPr>
          <w:p>
            <w:r>
              <w:t>查看规则命中、原因和关联交易。</w:t>
            </w:r>
          </w:p>
        </w:tc>
      </w:tr>
    </w:tbl>
    <w:p w14:paraId="1B32F877">
      <w:pPr>
        <w:spacing w:after="20"/>
      </w:pPr>
    </w:p>
    <w:p w14:paraId="632BBC08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2.3 用例关系与关键事件流</w:t>
      </w:r>
    </w:p>
    <w:p w14:paraId="34A0A7AD">
      <w:pPr>
        <w:widowControl/>
      </w:pPr>
      <w:r>
        <w:t>图 1-2a—1-2d 引用组员按模块绘制的用例图。表 1-2 汇总 S2 和 S3 的专项用例；原图与用例表尚有不同：原图含银行卡绑定、人脸识别、独立日终对账等候选功能，S2 清单则含注销、待确认核对和资金恢复等原图未画的用例。两者都保留供小组评审，不用 Backlog 单方面删改原稿。交易用例共用身份与对象权限校验、请求幂等和必要的风控检查；资金流水仅记录实际资金事件。</w:t>
      </w:r>
    </w:p>
    <w:p w14:paraId="61DBB5F3"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81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-账户与认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6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11B2C1">
      <w:pPr>
        <w:widowControl/>
        <w:spacing w:after="160"/>
        <w:jc w:val="center"/>
      </w:pPr>
      <w:r>
        <w:t>图 1-2a 账户与认证模块用例图，引用组员原图。人脸识别和银行卡绑定见原图及 S4 综合草稿，是否纳入需与 S2 的模拟渠道方案统一；S2 的账户注销、个人限额和操作记录见表 1-2。</w:t>
      </w:r>
    </w:p>
    <w:p w14:paraId="050D007B"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816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-存储交易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6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1087F3">
      <w:pPr>
        <w:widowControl/>
        <w:spacing w:after="160"/>
        <w:jc w:val="center"/>
      </w:pPr>
      <w:r>
        <w:t>图 1-2b 存储交易模块用例图，引用组员原图。模拟渠道的成功、失败和未知结果均需分析；存款适用自身单笔上限，取款与转账共用出账限额。待确认核对和失败恢复详见 S2 用例清单。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9816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-风控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1-2c 风控模块用例图，引用组员原图。S3 清单包含规则配置、风险名单、告警处置和风险记录查询；是否在首个原型实现管理界面由小组确定。存款单笔上限与出账限额分开校验。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981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-对账运营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1-2d 对账运营模块用例图，引用组员原图。S2 专项稿列有待确认交易核对与失败资金恢复；原图另有独立日终对账、监管报表和差错单处理，是否纳入当前范围待小组核对。跨行明确失败时仍须完成资金恢复。</w:t>
      </w:r>
    </w:p>
    <w:p w14:paraId="65BDB557">
      <w:pPr>
        <w:widowControl/>
      </w:pPr>
      <w:r>
        <w:t>存款 UC-TR-01。 客户提交本人账户、正金额和请求标识；系统先验证身份、账户归属和请求幂等，再校验账户为正常状态及存款单笔上限。冻结账户的新存款被拒绝；冻结前已受理的存款仍继续确认。模拟入金明确成功后余额增加一次并追加一条资金流水；明确失败不入账；结果未知保持待确认，不显示“已到账”。</w:t>
      </w:r>
    </w:p>
    <w:p w14:paraId="09F01BCA">
      <w:pPr>
        <w:keepNext/>
        <w:spacing w:after="60"/>
        <w:jc w:val="center"/>
      </w:pPr>
      <w:r>
        <w:drawing>
          <wp:inline distT="0" distB="0" distL="114300" distR="114300">
            <wp:extent cx="2187575" cy="6407785"/>
            <wp:effectExtent l="0" t="0" r="698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616" cy="64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9645">
      <w:pPr>
        <w:widowControl/>
        <w:spacing w:after="160"/>
        <w:jc w:val="center"/>
      </w:pPr>
      <w:r>
        <w:t>图 1-3 存款活动图，引用 S2 分析材料中的原图。账户状态、存款单笔上限、请求幂等和渠道结果按 S2 原图及 S3 规则核对；重复请求不得产生第二条入账流水。</w:t>
      </w:r>
    </w:p>
    <w:p w14:paraId="3FC20DA6">
      <w:pPr>
        <w:widowControl/>
      </w:pPr>
      <w:r>
        <w:rPr>
          <w:rFonts w:ascii="微软雅黑" w:hAnsi="微软雅黑" w:eastAsia="微软雅黑" w:cs="微软雅黑"/>
          <w:b/>
          <w:sz w:val="19"/>
        </w:rPr>
        <w:t>取款 UC-TR-02。</w:t>
      </w:r>
      <w:r>
        <w:rPr>
          <w:rFonts w:ascii="微软雅黑" w:hAnsi="微软雅黑" w:eastAsia="微软雅黑" w:cs="微软雅黑"/>
          <w:sz w:val="19"/>
        </w:rPr>
        <w:t xml:space="preserve"> 客户发起取款后先验证身份、账户归属和请求幂等；新请求再检查账户非冻结、金额不超过可用余额和适用限额，通过后预留可用资金。渠道明确成功才扣减账面余额并追加扣账流水；明确失败释放预留；未知结果保持占用并供后续核对。</w:t>
      </w:r>
    </w:p>
    <w:p w14:paraId="7D960092">
      <w:pPr>
        <w:keepNext/>
        <w:spacing w:after="60"/>
        <w:jc w:val="center"/>
      </w:pPr>
      <w:r>
        <w:drawing>
          <wp:inline distT="0" distB="0" distL="114300" distR="114300">
            <wp:extent cx="2358390" cy="6407785"/>
            <wp:effectExtent l="0" t="0" r="381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9003" cy="640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CB30">
      <w:pPr>
        <w:widowControl/>
        <w:spacing w:after="160"/>
        <w:jc w:val="center"/>
      </w:pPr>
      <w:r>
        <w:rPr>
          <w:rFonts w:ascii="微软雅黑" w:hAnsi="微软雅黑" w:eastAsia="微软雅黑" w:cs="微软雅黑"/>
          <w:sz w:val="19"/>
        </w:rPr>
        <w:t>图 1-4 取款活动图，引用 S2 分析材料中的原图。余额不足、冻结或超限均在实际出账前结束；限额数值按 BR-05。</w:t>
      </w:r>
    </w:p>
    <w:p w14:paraId="0A7D6F1A">
      <w:pPr>
        <w:widowControl/>
      </w:pPr>
      <w:r>
        <w:t>跨行转账 UC-TR-04。 付款账户的可用余额在模拟清算期间被占用；“已受理”不等于成功。模拟外部银行明确成功且本地扣账及流水完整后显示成功；明确失败且完成资金释放后显示失败；超时或结果未知继续显示待确认，不自动退款。S2 用例清单与 S4《用户故事清单》将其列为 P0/Must。</w:t>
      </w:r>
    </w:p>
    <w:p w14:paraId="358EF3A3">
      <w:pPr>
        <w:keepNext/>
        <w:spacing w:after="60"/>
        <w:jc w:val="center"/>
      </w:pPr>
      <w:r>
        <w:drawing>
          <wp:inline distT="0" distB="0" distL="114300" distR="114300">
            <wp:extent cx="2399030" cy="6407785"/>
            <wp:effectExtent l="0" t="0" r="889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9092" cy="640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2A3A">
      <w:pPr>
        <w:widowControl/>
        <w:spacing w:after="160"/>
        <w:jc w:val="center"/>
      </w:pPr>
      <w:r>
        <w:t>图 1-5 跨行转账活动图，引用 S2 分析材料中的原图。明确失败但释放未完成时保持“恢复中”，不可先报告最终失败；S2 用例清单及 S4 故事清单将跨行转账列为 P0/Must。</w:t>
      </w:r>
    </w:p>
    <w:p w14:paraId="234A7FB8">
      <w:pPr>
        <w:widowControl/>
      </w:pPr>
      <w:r>
        <w:t>交易准入与风控。 图 1-6 展示新存款与出账请求的账户状态、金额和限额校验。风控拒绝记录为拦截事件，不能伪造成实际资金流水。具体限额和异常条件见第 2.4 节表 1-3；角色与权限说明见 S3 角色与风控需求说明。</w:t>
      </w:r>
    </w:p>
    <w:p w14:paraId="174B0386"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702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风控拦截活动图-按S2S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02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DB3D96">
      <w:pPr>
        <w:spacing w:after="180"/>
        <w:jc w:val="center"/>
      </w:pPr>
      <w:r>
        <w:t>图 1-6 依据 S2、S3 规则重新整理的交易准入与风控活动图，原图保留在 photo 目录。任一新请求校验失败均拒绝并留痕，B/R 不变；冻结账户禁止新存款、取款、转账及接收新的行内转入，冻结前已受理业务继续确认或恢复。</w:t>
      </w:r>
    </w:p>
    <w:p w14:paraId="63F4C50B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2.4 业务规则与异常处理</w:t>
      </w:r>
    </w:p>
    <w:p w14:paraId="312E9259">
      <w:pPr>
        <w:widowControl/>
      </w:pPr>
      <w:r>
        <w:t>表 1-3 沿用 S2《00-需求基线与规则》的 BR 编号，内容与 S3 风控规则对应；先前讨论纪要中的同号 BR 另有含义，不能混作引用。以 B 表示账面余额，R 表示待完成出账的占用资金，A 表示可用余额，始终要求 A=B-R 且 B≥0、0≤R≤B。冻结是账户状态，不等同于资金占用。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5669"/>
        <w:gridCol w:w="2636"/>
      </w:tblGrid>
      <w:tr w14:paraId="1DEA9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9" w:type="dxa"/>
            <w:shd w:val="clear" w:color="auto" w:fill="EAF1F5"/>
            <w:vAlign w:val="center"/>
          </w:tcPr>
          <w:p>
            <w:r>
              <w:t>规则</w:t>
            </w:r>
          </w:p>
        </w:tc>
        <w:tc>
          <w:tcPr>
            <w:tcW w:w="5669" w:type="dxa"/>
            <w:shd w:val="clear" w:color="auto" w:fill="EAF1F5"/>
            <w:vAlign w:val="center"/>
          </w:tcPr>
          <w:p>
            <w:r>
              <w:t>内容</w:t>
            </w:r>
          </w:p>
        </w:tc>
        <w:tc>
          <w:tcPr>
            <w:tcW w:w="2636" w:type="dxa"/>
            <w:shd w:val="clear" w:color="auto" w:fill="EAF1F5"/>
            <w:vAlign w:val="center"/>
          </w:tcPr>
          <w:p>
            <w:r>
              <w:t>可验证的异常结果</w:t>
            </w:r>
          </w:p>
        </w:tc>
      </w:tr>
      <w:tr w14:paraId="4F9E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BR-01 币种与金额</w:t>
            </w:r>
          </w:p>
        </w:tc>
        <w:tc>
          <w:tcPr>
            <w:tcW w:w="5669" w:type="dxa"/>
            <w:vAlign w:val="center"/>
          </w:tcPr>
          <w:p>
            <w:r>
              <w:t>仅模拟人民币 CNY 和虚拟资金；金额大于零、最多两位小数，不计息费、不允许透支。</w:t>
            </w:r>
          </w:p>
        </w:tc>
        <w:tc>
          <w:tcPr>
            <w:tcW w:w="2636" w:type="dxa"/>
            <w:vAlign w:val="center"/>
          </w:tcPr>
          <w:p>
            <w:r>
              <w:t>非法金额拒绝，资金不变。</w:t>
            </w:r>
          </w:p>
        </w:tc>
      </w:tr>
      <w:tr w14:paraId="01EC1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BR-02 开户数量</w:t>
            </w:r>
          </w:p>
        </w:tc>
        <w:tc>
          <w:tcPr>
            <w:tcW w:w="5669" w:type="dxa"/>
            <w:vAlign w:val="center"/>
          </w:tcPr>
          <w:p>
            <w:r>
              <w:t>每名客户最多三个未注销账户，正常与冻结账户均计入；新账户初始 B=R=A=0。</w:t>
            </w:r>
          </w:p>
        </w:tc>
        <w:tc>
          <w:tcPr>
            <w:tcW w:w="2636" w:type="dxa"/>
            <w:vAlign w:val="center"/>
          </w:tcPr>
          <w:p>
            <w:r>
              <w:t>达到上限拒绝再次开户。</w:t>
            </w:r>
          </w:p>
        </w:tc>
      </w:tr>
      <w:tr w14:paraId="1764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BR-03 账户状态</w:t>
            </w:r>
          </w:p>
        </w:tc>
        <w:tc>
          <w:tcPr>
            <w:tcW w:w="5669" w:type="dxa"/>
            <w:vAlign w:val="center"/>
          </w:tcPr>
          <w:p>
            <w:r>
              <w:t>冻结账户禁止新存款、取款、转账及接收新的行内转入；已受理交易继续确认、核对或恢复。</w:t>
            </w:r>
          </w:p>
        </w:tc>
        <w:tc>
          <w:tcPr>
            <w:tcW w:w="2636" w:type="dxa"/>
            <w:vAlign w:val="center"/>
          </w:tcPr>
          <w:p>
            <w:r>
              <w:t>新收付被拒绝；旧交易不会永久悬挂。</w:t>
            </w:r>
          </w:p>
        </w:tc>
      </w:tr>
      <w:tr w14:paraId="5EDA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BR-04 余额口径</w:t>
            </w:r>
          </w:p>
        </w:tc>
        <w:tc>
          <w:tcPr>
            <w:tcW w:w="5669" w:type="dxa"/>
            <w:vAlign w:val="center"/>
          </w:tcPr>
          <w:p>
            <w:r>
              <w:t>账面余额 B、占用 R、可用余额 A 满足 A=B-R，且 B≥0、0≤R≤B。</w:t>
            </w:r>
          </w:p>
        </w:tc>
        <w:tc>
          <w:tcPr>
            <w:tcW w:w="2636" w:type="dxa"/>
            <w:vAlign w:val="center"/>
          </w:tcPr>
          <w:p>
            <w:r>
              <w:t>并发及恢复后仍满足不变式。</w:t>
            </w:r>
          </w:p>
        </w:tc>
      </w:tr>
      <w:tr w14:paraId="54BE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BR-05 交易限额</w:t>
            </w:r>
          </w:p>
        </w:tc>
        <w:tc>
          <w:tcPr>
            <w:tcW w:w="5669" w:type="dxa"/>
            <w:vAlign w:val="center"/>
          </w:tcPr>
          <w:p>
            <w:r>
              <w:t>存款单笔上限建议 50,000 元；取款及两类转账共用出账单笔 10,000 元、每账户自然日累计 50,000 元。日累计含已成功及仍占用的出账，失败恢复后释放原日额度。</w:t>
            </w:r>
          </w:p>
        </w:tc>
        <w:tc>
          <w:tcPr>
            <w:tcW w:w="2636" w:type="dxa"/>
            <w:vAlign w:val="center"/>
          </w:tcPr>
          <w:p>
            <w:r>
              <w:t>超限拒绝，B/R 不变；数值为组员稿的课堂建议。</w:t>
            </w:r>
          </w:p>
        </w:tc>
      </w:tr>
      <w:tr w14:paraId="7BC5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BR-09 冻结权限</w:t>
            </w:r>
          </w:p>
        </w:tc>
        <w:tc>
          <w:tcPr>
            <w:tcW w:w="5669" w:type="dxa"/>
            <w:vAlign w:val="center"/>
          </w:tcPr>
          <w:p>
            <w:r>
              <w:t>运营人员或风控专员可记录原因并冻结；全部有效原因解除后由运营人员解冻，风控冻结须有风险解除依据。</w:t>
            </w:r>
          </w:p>
        </w:tc>
        <w:tc>
          <w:tcPr>
            <w:tcW w:w="2636" w:type="dxa"/>
            <w:vAlign w:val="center"/>
          </w:tcPr>
          <w:p>
            <w:r>
              <w:t>无依据不得解冻，操作留痕。</w:t>
            </w:r>
          </w:p>
        </w:tc>
      </w:tr>
      <w:tr w14:paraId="3C58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BR-11/12 幂等</w:t>
            </w:r>
          </w:p>
        </w:tc>
        <w:tc>
          <w:tcPr>
            <w:tcW w:w="5669" w:type="dxa"/>
            <w:vAlign w:val="center"/>
          </w:tcPr>
          <w:p>
            <w:r>
              <w:t>同一身份、业务类型和 requestId 的相同请求只产生一次效果；tradeNo 贯穿资金及外部处理，同号不同内容返回冲突。</w:t>
            </w:r>
          </w:p>
        </w:tc>
        <w:tc>
          <w:tcPr>
            <w:tcW w:w="2636" w:type="dxa"/>
            <w:vAlign w:val="center"/>
          </w:tcPr>
          <w:p>
            <w:r>
              <w:t>重试和重复回执不产生第二次资金变化。</w:t>
            </w:r>
          </w:p>
        </w:tc>
      </w:tr>
      <w:tr w14:paraId="3BA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BR-13 存款入账</w:t>
            </w:r>
          </w:p>
        </w:tc>
        <w:tc>
          <w:tcPr>
            <w:tcW w:w="5669" w:type="dxa"/>
            <w:vAlign w:val="center"/>
          </w:tcPr>
          <w:p>
            <w:r>
              <w:t>渠道明确成功后 B 增加并追加入账流水；失败不入账，未知结果待确认。</w:t>
            </w:r>
          </w:p>
        </w:tc>
        <w:tc>
          <w:tcPr>
            <w:tcW w:w="2636" w:type="dxa"/>
            <w:vAlign w:val="center"/>
          </w:tcPr>
          <w:p>
            <w:r>
              <w:t>不能凭提交或超时显示已到账。</w:t>
            </w:r>
          </w:p>
        </w:tc>
      </w:tr>
      <w:tr w14:paraId="3BA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BR-14 出账处理</w:t>
            </w:r>
          </w:p>
        </w:tc>
        <w:tc>
          <w:tcPr>
            <w:tcW w:w="5669" w:type="dxa"/>
            <w:vAlign w:val="center"/>
          </w:tcPr>
          <w:p>
            <w:r>
              <w:t>取款与转账受理后先占用资金及额度；明确成功后扣账并释放占用，明确失败且恢复完成后释放。</w:t>
            </w:r>
          </w:p>
        </w:tc>
        <w:tc>
          <w:tcPr>
            <w:tcW w:w="2636" w:type="dxa"/>
            <w:vAlign w:val="center"/>
          </w:tcPr>
          <w:p>
            <w:r>
              <w:t>未知结果保留占用，失败不造成重复资金效果。</w:t>
            </w:r>
          </w:p>
        </w:tc>
      </w:tr>
      <w:tr w14:paraId="3BA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BR-15 本行转账</w:t>
            </w:r>
          </w:p>
        </w:tc>
        <w:tc>
          <w:tcPr>
            <w:tcW w:w="5669" w:type="dxa"/>
            <w:vAlign w:val="center"/>
          </w:tcPr>
          <w:p>
            <w:r>
              <w:t>付款方扣账、收款方入账及双方关联流水必须一致后才能报告成功。</w:t>
            </w:r>
          </w:p>
        </w:tc>
        <w:tc>
          <w:tcPr>
            <w:tcW w:w="2636" w:type="dxa"/>
            <w:vAlign w:val="center"/>
          </w:tcPr>
          <w:p>
            <w:r>
              <w:t>一方失败时不能展示单边成功。</w:t>
            </w:r>
          </w:p>
        </w:tc>
      </w:tr>
      <w:tr w14:paraId="3BA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BR-16/17 模拟跨行与恢复</w:t>
            </w:r>
          </w:p>
        </w:tc>
        <w:tc>
          <w:tcPr>
            <w:tcW w:w="5669" w:type="dxa"/>
            <w:vAlign w:val="center"/>
          </w:tcPr>
          <w:p>
            <w:r>
              <w:t>外部明确成功且本地完成才报告成功；外部明确失败且释放完成才报告失败；未知保持待确认，恢复未完成保持恢复中。</w:t>
            </w:r>
          </w:p>
        </w:tc>
        <w:tc>
          <w:tcPr>
            <w:tcW w:w="2636" w:type="dxa"/>
            <w:vAlign w:val="center"/>
          </w:tcPr>
          <w:p>
            <w:r>
              <w:t>超时不能直接退款或判成功。</w:t>
            </w:r>
          </w:p>
        </w:tc>
      </w:tr>
      <w:tr w14:paraId="3BA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BR-19 资金流水</w:t>
            </w:r>
          </w:p>
        </w:tc>
        <w:tc>
          <w:tcPr>
            <w:tcW w:w="5669" w:type="dxa"/>
            <w:vAlign w:val="center"/>
          </w:tcPr>
          <w:p>
            <w:r>
              <w:t>只记录实际入账、扣账或纠正；拒绝与处理过程另存，历史流水不修改或删除。</w:t>
            </w:r>
          </w:p>
        </w:tc>
        <w:tc>
          <w:tcPr>
            <w:tcW w:w="2636" w:type="dxa"/>
            <w:vAlign w:val="center"/>
          </w:tcPr>
          <w:p>
            <w:r>
              <w:t>资金变化可按交易号追溯。</w:t>
            </w:r>
          </w:p>
        </w:tc>
      </w:tr>
      <w:tr w14:paraId="3BA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BR-20 权限与审计</w:t>
            </w:r>
          </w:p>
        </w:tc>
        <w:tc>
          <w:tcPr>
            <w:tcW w:w="5669" w:type="dxa"/>
            <w:vAlign w:val="center"/>
          </w:tcPr>
          <w:p>
            <w:r>
              <w:t>客户仅访问本人数据；后台人员按角色及对象范围授权，重要操作记录操作者、时间、原因与结果。</w:t>
            </w:r>
          </w:p>
        </w:tc>
        <w:tc>
          <w:tcPr>
            <w:tcW w:w="2636" w:type="dxa"/>
            <w:vAlign w:val="center"/>
          </w:tcPr>
          <w:p>
            <w:r>
              <w:t>越权访问被拒绝，审计可追溯。</w:t>
            </w:r>
          </w:p>
        </w:tc>
      </w:tr>
    </w:tbl>
    <w:p w14:paraId="450B3EDF">
      <w:pPr>
        <w:spacing w:after="20"/>
      </w:pPr>
    </w:p>
    <w:p w14:paraId="1DA62AC4">
      <w:pPr>
        <w:widowControl/>
      </w:pPr>
      <w:r>
        <w:rPr>
          <w:rFonts w:ascii="微软雅黑" w:hAnsi="微软雅黑" w:eastAsia="微软雅黑" w:cs="微软雅黑"/>
          <w:sz w:val="19"/>
        </w:rPr>
        <w:t xml:space="preserve">交易处理状态采用“已接收、已拒绝、处理中、待确认、成功、恢复中、失败”。资金流水与处理状态分开：前者仅记录实际资金事件，后者记录受理及异常处理过程。详细异常检查清单见 </w:t>
      </w:r>
      <w:r>
        <w:fldChar w:fldCharType="begin"/>
      </w:r>
      <w:r>
        <w:instrText xml:space="preserve"> HYPERLINK "数字银行账户与交易模块需求分析/04-交易异常场景与验收.md" \h </w:instrText>
      </w:r>
      <w:r>
        <w:fldChar w:fldCharType="separate"/>
      </w:r>
      <w:r>
        <w:rPr>
          <w:rFonts w:ascii="微软雅黑" w:hAnsi="微软雅黑" w:eastAsia="微软雅黑" w:cs="微软雅黑"/>
          <w:color w:val="175A78"/>
          <w:u w:val="single"/>
        </w:rPr>
        <w:t>S2 异常场景</w:t>
      </w:r>
      <w:r>
        <w:rPr>
          <w:rFonts w:ascii="微软雅黑" w:hAnsi="微软雅黑" w:eastAsia="微软雅黑" w:cs="微软雅黑"/>
          <w:color w:val="175A78"/>
          <w:u w:val="single"/>
        </w:rPr>
        <w:fldChar w:fldCharType="end"/>
      </w:r>
      <w:r>
        <w:rPr>
          <w:rFonts w:ascii="微软雅黑" w:hAnsi="微软雅黑" w:eastAsia="微软雅黑" w:cs="微软雅黑"/>
          <w:sz w:val="19"/>
        </w:rPr>
        <w:t>。</w:t>
      </w:r>
    </w:p>
    <w:p w14:paraId="55F163B9">
      <w:pPr>
        <w:pStyle w:val="4"/>
      </w:pPr>
      <w:r>
        <w:rPr>
          <w:rFonts w:ascii="微软雅黑" w:hAnsi="微软雅黑" w:eastAsia="微软雅黑" w:cs="微软雅黑"/>
          <w:b/>
          <w:sz w:val="23"/>
        </w:rPr>
        <w:t>2.5 候选类、CRC 与领域模型</w:t>
      </w:r>
    </w:p>
    <w:p w14:paraId="441BC178">
      <w:pPr>
        <w:widowControl/>
      </w:pPr>
      <w:r>
        <w:t>从“客户开立账户”“账户发生交易”“交易命中规则”“跨行转账等待结果”等用例中的名词短语提取候选类。登录页面、表单和数据库连接属于界面或实现细节，不进入实验一的分析类模型。S5 的候选类与 CRC 原稿提供了候选概念；其中银行卡、告警、独立对账等概念须随功能范围评审，不能直接删除原稿。原稿的一客户一账户关系与 S2、S4 的最多三个未注销账户规则不一致，本图暂按业务专项材料表达为一对多，待 S5 复核。</w:t>
      </w:r>
    </w:p>
    <w:p w14:paraId="073C4D9E">
      <w:pPr>
        <w:widowControl/>
      </w:pPr>
      <w:r>
        <w:rPr>
          <w:rFonts w:ascii="微软雅黑" w:hAnsi="微软雅黑" w:eastAsia="微软雅黑" w:cs="微软雅黑"/>
          <w:sz w:val="19"/>
        </w:rPr>
        <w:t>表 1-4 核心 CRC 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5669"/>
        <w:gridCol w:w="2636"/>
      </w:tblGrid>
      <w:tr w14:paraId="0D75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29" w:type="dxa"/>
            <w:shd w:val="clear" w:color="auto" w:fill="EAF1F5"/>
            <w:vAlign w:val="center"/>
          </w:tcPr>
          <w:p>
            <w:r>
              <w:t>候选类</w:t>
            </w:r>
          </w:p>
        </w:tc>
        <w:tc>
          <w:tcPr>
            <w:tcW w:w="5669" w:type="dxa"/>
            <w:shd w:val="clear" w:color="auto" w:fill="EAF1F5"/>
            <w:vAlign w:val="center"/>
          </w:tcPr>
          <w:p>
            <w:r>
              <w:t>职责</w:t>
            </w:r>
          </w:p>
        </w:tc>
        <w:tc>
          <w:tcPr>
            <w:tcW w:w="2636" w:type="dxa"/>
            <w:shd w:val="clear" w:color="auto" w:fill="EAF1F5"/>
            <w:vAlign w:val="center"/>
          </w:tcPr>
          <w:p>
            <w:r>
              <w:t>协作者</w:t>
            </w:r>
          </w:p>
        </w:tc>
      </w:tr>
      <w:tr w14:paraId="5AAC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Customer 客户</w:t>
            </w:r>
          </w:p>
        </w:tc>
        <w:tc>
          <w:tcPr>
            <w:tcW w:w="5669" w:type="dxa"/>
            <w:vAlign w:val="center"/>
          </w:tcPr>
          <w:p>
            <w:r>
              <w:t>持有身份与实名状态，关联本人账户</w:t>
            </w:r>
          </w:p>
        </w:tc>
        <w:tc>
          <w:tcPr>
            <w:tcW w:w="2636" w:type="dxa"/>
            <w:vAlign w:val="center"/>
          </w:tcPr>
          <w:p>
            <w:r>
              <w:t>Account</w:t>
            </w:r>
          </w:p>
        </w:tc>
      </w:tr>
      <w:tr w14:paraId="5C84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Account 账户</w:t>
            </w:r>
          </w:p>
        </w:tc>
        <w:tc>
          <w:tcPr>
            <w:tcW w:w="5669" w:type="dxa"/>
            <w:vAlign w:val="center"/>
          </w:tcPr>
          <w:p>
            <w:r>
              <w:t>维护归属、状态、账面余额与预留金额，保证可用余额非负</w:t>
            </w:r>
          </w:p>
        </w:tc>
        <w:tc>
          <w:tcPr>
            <w:tcW w:w="2636" w:type="dxa"/>
            <w:vAlign w:val="center"/>
          </w:tcPr>
          <w:p>
            <w:r>
              <w:t>Customer、Transaction</w:t>
            </w:r>
          </w:p>
        </w:tc>
      </w:tr>
      <w:tr w14:paraId="047F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Transaction 交易</w:t>
            </w:r>
          </w:p>
        </w:tc>
        <w:tc>
          <w:tcPr>
            <w:tcW w:w="5669" w:type="dxa"/>
            <w:vAlign w:val="center"/>
          </w:tcPr>
          <w:p>
            <w:r>
              <w:t>标识请求和交易结果，关联资金流水与幂等标识</w:t>
            </w:r>
          </w:p>
        </w:tc>
        <w:tc>
          <w:tcPr>
            <w:tcW w:w="2636" w:type="dxa"/>
            <w:vAlign w:val="center"/>
          </w:tcPr>
          <w:p>
            <w:r>
              <w:t>Account、TransferOrder、RiskEvent</w:t>
            </w:r>
          </w:p>
        </w:tc>
      </w:tr>
      <w:tr w14:paraId="1EC4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FundEntry 资金流水</w:t>
            </w:r>
          </w:p>
        </w:tc>
        <w:tc>
          <w:tcPr>
            <w:tcW w:w="5669" w:type="dxa"/>
            <w:vAlign w:val="center"/>
          </w:tcPr>
          <w:p>
            <w:r>
              <w:t>记录一次实际入账、扣账或纠正，保留交易号与账户关联</w:t>
            </w:r>
          </w:p>
        </w:tc>
        <w:tc>
          <w:tcPr>
            <w:tcW w:w="2636" w:type="dxa"/>
            <w:vAlign w:val="center"/>
          </w:tcPr>
          <w:p>
            <w:r>
              <w:t>Transaction、Account</w:t>
            </w:r>
          </w:p>
        </w:tc>
      </w:tr>
      <w:tr w14:paraId="6B9C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TransferOrder 转账单</w:t>
            </w:r>
          </w:p>
        </w:tc>
        <w:tc>
          <w:tcPr>
            <w:tcW w:w="5669" w:type="dxa"/>
            <w:vAlign w:val="center"/>
          </w:tcPr>
          <w:p>
            <w:r>
              <w:t>描述付款、收款、金额及模拟跨行处理状态</w:t>
            </w:r>
          </w:p>
        </w:tc>
        <w:tc>
          <w:tcPr>
            <w:tcW w:w="2636" w:type="dxa"/>
            <w:vAlign w:val="center"/>
          </w:tcPr>
          <w:p>
            <w:r>
              <w:t>Transaction、Account</w:t>
            </w:r>
          </w:p>
        </w:tc>
      </w:tr>
      <w:tr w14:paraId="780E5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RiskRule 风控规则</w:t>
            </w:r>
          </w:p>
        </w:tc>
        <w:tc>
          <w:tcPr>
            <w:tcW w:w="5669" w:type="dxa"/>
            <w:vAlign w:val="center"/>
          </w:tcPr>
          <w:p>
            <w:r>
              <w:t>定义单笔及日累计限额条件</w:t>
            </w:r>
          </w:p>
        </w:tc>
        <w:tc>
          <w:tcPr>
            <w:tcW w:w="2636" w:type="dxa"/>
            <w:vAlign w:val="center"/>
          </w:tcPr>
          <w:p>
            <w:r>
              <w:t>RiskEvent</w:t>
            </w:r>
          </w:p>
        </w:tc>
      </w:tr>
      <w:tr w14:paraId="6D72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RiskEvent 拦截事件</w:t>
            </w:r>
          </w:p>
        </w:tc>
        <w:tc>
          <w:tcPr>
            <w:tcW w:w="5669" w:type="dxa"/>
            <w:vAlign w:val="center"/>
          </w:tcPr>
          <w:p>
            <w:r>
              <w:t>记录规则命中、原因和关联交易</w:t>
            </w:r>
          </w:p>
        </w:tc>
        <w:tc>
          <w:tcPr>
            <w:tcW w:w="2636" w:type="dxa"/>
            <w:vAlign w:val="center"/>
          </w:tcPr>
          <w:p>
            <w:r>
              <w:t>RiskRule、Transaction</w:t>
            </w:r>
          </w:p>
        </w:tc>
      </w:tr>
    </w:tbl>
    <w:p w14:paraId="191DD96B">
      <w:pPr>
        <w:spacing w:after="20"/>
      </w:pPr>
    </w:p>
    <w:p w14:paraId="61FD1824">
      <w:pPr>
        <w:widowControl/>
      </w:pPr>
      <w:r>
        <w:t>核心领域概念及关系见图 1-7 和 S5 候选类、CRC 与领域模型分析。一名客户可以在开户前拥有零个账户，一个账户可以关联多条资金交易。分析类只表达职责与关联，不涉及数据库字段类型或服务实现方法。账户与交易的不变式为：A=B-R、余额不得为负、同一请求只产生一次资金效果、冻结账户不得新出账、每笔实际资金变化均可追溯。</w:t>
      </w:r>
    </w:p>
    <w:p w14:paraId="2CCA81E0">
      <w:pPr>
        <w:keepNext/>
        <w:spacing w:before="140" w:after="60"/>
        <w:jc w:val="center"/>
      </w:pPr>
      <w:r>
        <w:drawing>
          <wp:inline distT="0" distB="0" distL="114300" distR="114300">
            <wp:extent cx="6119495" cy="3404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16EA">
      <w:pPr>
        <w:spacing w:after="180"/>
        <w:jc w:val="center"/>
      </w:pPr>
      <w:r>
        <w:rPr>
          <w:color w:val="4F5B69"/>
          <w:sz w:val="18"/>
        </w:rPr>
        <w:t>图 1-7 核心领域概念模型。</w:t>
      </w:r>
    </w:p>
    <w:p w14:paraId="4D3BF31F">
      <w:pPr>
        <w:pStyle w:val="3"/>
      </w:pPr>
      <w:r>
        <w:rPr>
          <w:rFonts w:ascii="微软雅黑" w:hAnsi="微软雅黑" w:eastAsia="微软雅黑" w:cs="微软雅黑"/>
          <w:b/>
          <w:sz w:val="28"/>
        </w:rPr>
        <w:t>3 非功能需求</w:t>
      </w:r>
    </w:p>
    <w:p w14:paraId="3DCBF260">
      <w:pPr>
        <w:widowControl/>
      </w:pPr>
      <w:r>
        <w:t>以下采用 S3 的 NFR 编号和口径，均为拟验证目标，不是已完成的测试结论。统一测试环境和实际结果在实验四记录。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502"/>
        <w:gridCol w:w="4535"/>
        <w:gridCol w:w="2551"/>
      </w:tblGrid>
      <w:tr w14:paraId="7AA7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6" w:type="dxa"/>
            <w:shd w:val="clear" w:color="auto" w:fill="EAF1F5"/>
            <w:vAlign w:val="center"/>
          </w:tcPr>
          <w:p>
            <w:r>
              <w:t>编号</w:t>
            </w:r>
          </w:p>
        </w:tc>
        <w:tc>
          <w:tcPr>
            <w:tcW w:w="1502" w:type="dxa"/>
            <w:shd w:val="clear" w:color="auto" w:fill="EAF1F5"/>
            <w:vAlign w:val="center"/>
          </w:tcPr>
          <w:p>
            <w:r>
              <w:t>类别</w:t>
            </w:r>
          </w:p>
        </w:tc>
        <w:tc>
          <w:tcPr>
            <w:tcW w:w="4535" w:type="dxa"/>
            <w:shd w:val="clear" w:color="auto" w:fill="EAF1F5"/>
            <w:vAlign w:val="center"/>
          </w:tcPr>
          <w:p>
            <w:r>
              <w:t>可验证要求</w:t>
            </w:r>
          </w:p>
        </w:tc>
        <w:tc>
          <w:tcPr>
            <w:tcW w:w="2551" w:type="dxa"/>
            <w:shd w:val="clear" w:color="auto" w:fill="EAF1F5"/>
            <w:vAlign w:val="center"/>
          </w:tcPr>
          <w:p>
            <w:r>
              <w:t>验证方法</w:t>
            </w:r>
          </w:p>
        </w:tc>
      </w:tr>
      <w:tr w14:paraId="0CDE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NFR-01</w:t>
            </w:r>
          </w:p>
        </w:tc>
        <w:tc>
          <w:tcPr>
            <w:tcW w:w="1502" w:type="dxa"/>
            <w:vAlign w:val="center"/>
          </w:tcPr>
          <w:p>
            <w:r>
              <w:t>权限隔离</w:t>
            </w:r>
          </w:p>
        </w:tc>
        <w:tc>
          <w:tcPr>
            <w:tcW w:w="4535" w:type="dxa"/>
            <w:vAlign w:val="center"/>
          </w:tcPr>
          <w:p>
            <w:r>
              <w:t>客户无法通过替换账户号、交易号或请求标识访问他人数据；后台操作检查对象范围。</w:t>
            </w:r>
          </w:p>
        </w:tc>
        <w:tc>
          <w:tcPr>
            <w:tcW w:w="2551" w:type="dxa"/>
            <w:vAlign w:val="center"/>
          </w:tcPr>
          <w:p>
            <w:r>
              <w:t>双客户与后台越权用例。</w:t>
            </w:r>
          </w:p>
        </w:tc>
      </w:tr>
      <w:tr w14:paraId="4B81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NFR-02</w:t>
            </w:r>
          </w:p>
        </w:tc>
        <w:tc>
          <w:tcPr>
            <w:tcW w:w="1502" w:type="dxa"/>
            <w:vAlign w:val="center"/>
          </w:tcPr>
          <w:p>
            <w:r>
              <w:t>资金一致性</w:t>
            </w:r>
          </w:p>
        </w:tc>
        <w:tc>
          <w:tcPr>
            <w:tcW w:w="4535" w:type="dxa"/>
            <w:vAlign w:val="center"/>
          </w:tcPr>
          <w:p>
            <w:r>
              <w:t>始终满足 A=B-R；重复请求、回执及恢复重试不造成第二次资金效果；限额不被并发穿透。</w:t>
            </w:r>
          </w:p>
        </w:tc>
        <w:tc>
          <w:tcPr>
            <w:tcW w:w="2551" w:type="dxa"/>
            <w:vAlign w:val="center"/>
          </w:tcPr>
          <w:p>
            <w:r>
              <w:t>并发、幂等与故障注入用例。</w:t>
            </w:r>
          </w:p>
        </w:tc>
      </w:tr>
      <w:tr w14:paraId="57D9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NFR-03</w:t>
            </w:r>
          </w:p>
        </w:tc>
        <w:tc>
          <w:tcPr>
            <w:tcW w:w="1502" w:type="dxa"/>
            <w:vAlign w:val="center"/>
          </w:tcPr>
          <w:p>
            <w:r>
              <w:t>可追溯</w:t>
            </w:r>
          </w:p>
        </w:tc>
        <w:tc>
          <w:tcPr>
            <w:tcW w:w="4535" w:type="dxa"/>
            <w:vAlign w:val="center"/>
          </w:tcPr>
          <w:p>
            <w:r>
              <w:t>tradeNo、requestId 串联交易状态、资金记录、外部结果及恢复日志；日志不存密码和完整令牌。</w:t>
            </w:r>
          </w:p>
        </w:tc>
        <w:tc>
          <w:tcPr>
            <w:tcW w:w="2551" w:type="dxa"/>
            <w:vAlign w:val="center"/>
          </w:tcPr>
          <w:p>
            <w:r>
              <w:t>日志抽查。</w:t>
            </w:r>
          </w:p>
        </w:tc>
      </w:tr>
      <w:tr w14:paraId="4BF1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NFR-04</w:t>
            </w:r>
          </w:p>
        </w:tc>
        <w:tc>
          <w:tcPr>
            <w:tcW w:w="1502" w:type="dxa"/>
            <w:vAlign w:val="center"/>
          </w:tcPr>
          <w:p>
            <w:r>
              <w:t>响应目标</w:t>
            </w:r>
          </w:p>
        </w:tc>
        <w:tc>
          <w:tcPr>
            <w:tcW w:w="4535" w:type="dxa"/>
            <w:vAlign w:val="center"/>
          </w:tcPr>
          <w:p>
            <w:r>
              <w:t>10 名并发模拟客户、预热 1 分钟、持续 2 分钟时，受理和查询 P95 不超过 2 秒。</w:t>
            </w:r>
          </w:p>
        </w:tc>
        <w:tc>
          <w:tcPr>
            <w:tcW w:w="2551" w:type="dxa"/>
            <w:vAlign w:val="center"/>
          </w:tcPr>
          <w:p>
            <w:r>
              <w:t>接口压测，记录环境与 P95。</w:t>
            </w:r>
          </w:p>
        </w:tc>
      </w:tr>
      <w:tr w14:paraId="4F76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NFR-05</w:t>
            </w:r>
          </w:p>
        </w:tc>
        <w:tc>
          <w:tcPr>
            <w:tcW w:w="1502" w:type="dxa"/>
            <w:vAlign w:val="center"/>
          </w:tcPr>
          <w:p>
            <w:r>
              <w:t>超时与持续核对</w:t>
            </w:r>
          </w:p>
        </w:tc>
        <w:tc>
          <w:tcPr>
            <w:tcW w:w="4535" w:type="dxa"/>
            <w:vAlign w:val="center"/>
          </w:tcPr>
          <w:p>
            <w:r>
              <w:t>外部调用 5 秒无明确结果返回待确认；按 S3 建议持续查询，仍未知时转运营待处理。</w:t>
            </w:r>
          </w:p>
        </w:tc>
        <w:tc>
          <w:tcPr>
            <w:tcW w:w="2551" w:type="dxa"/>
            <w:vAlign w:val="center"/>
          </w:tcPr>
          <w:p>
            <w:r>
              <w:t>模拟超时与迟到回执。</w:t>
            </w:r>
          </w:p>
        </w:tc>
      </w:tr>
      <w:tr w14:paraId="7174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NFR-06</w:t>
            </w:r>
          </w:p>
        </w:tc>
        <w:tc>
          <w:tcPr>
            <w:tcW w:w="1502" w:type="dxa"/>
            <w:vAlign w:val="center"/>
          </w:tcPr>
          <w:p>
            <w:r>
              <w:t>可解释反馈</w:t>
            </w:r>
          </w:p>
        </w:tc>
        <w:tc>
          <w:tcPr>
            <w:tcW w:w="4535" w:type="dxa"/>
            <w:vAlign w:val="center"/>
          </w:tcPr>
          <w:p>
            <w:r>
              <w:t>区分已接收、处理中、待确认、成功、失败和恢复中；已接收不得显示已到账。</w:t>
            </w:r>
          </w:p>
        </w:tc>
        <w:tc>
          <w:tcPr>
            <w:tcW w:w="2551" w:type="dxa"/>
            <w:vAlign w:val="center"/>
          </w:tcPr>
          <w:p>
            <w:r>
              <w:t>界面与状态查询走查。</w:t>
            </w:r>
          </w:p>
        </w:tc>
      </w:tr>
      <w:tr w14:paraId="447F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NFR-07</w:t>
            </w:r>
          </w:p>
        </w:tc>
        <w:tc>
          <w:tcPr>
            <w:tcW w:w="1502" w:type="dxa"/>
            <w:vAlign w:val="center"/>
          </w:tcPr>
          <w:p>
            <w:r>
              <w:t>身份认证</w:t>
            </w:r>
          </w:p>
        </w:tc>
        <w:tc>
          <w:tcPr>
            <w:tcW w:w="4535" w:type="dxa"/>
            <w:vAlign w:val="center"/>
          </w:tcPr>
          <w:p>
            <w:r>
              <w:t>密码加盐哈希存储，会话失效规则明确；未登录与越权分别返回 401、403。</w:t>
            </w:r>
          </w:p>
        </w:tc>
        <w:tc>
          <w:tcPr>
            <w:tcW w:w="2551" w:type="dxa"/>
            <w:vAlign w:val="center"/>
          </w:tcPr>
          <w:p>
            <w:r>
              <w:t>代码审查与接口测试。</w:t>
            </w:r>
          </w:p>
        </w:tc>
      </w:tr>
      <w:tr w14:paraId="62DD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NFR-09</w:t>
            </w:r>
          </w:p>
        </w:tc>
        <w:tc>
          <w:tcPr>
            <w:tcW w:w="1502" w:type="dxa"/>
            <w:vAlign w:val="center"/>
          </w:tcPr>
          <w:p>
            <w:r>
              <w:t>数据保护</w:t>
            </w:r>
          </w:p>
        </w:tc>
        <w:tc>
          <w:tcPr>
            <w:tcW w:w="4535" w:type="dxa"/>
            <w:vAlign w:val="center"/>
          </w:tcPr>
          <w:p>
            <w:r>
              <w:t>卡号、证件号和手机号按权限脱敏；日志不含密码与令牌。</w:t>
            </w:r>
          </w:p>
        </w:tc>
        <w:tc>
          <w:tcPr>
            <w:tcW w:w="2551" w:type="dxa"/>
            <w:vAlign w:val="center"/>
          </w:tcPr>
          <w:p>
            <w:r>
              <w:t>界面及日志核查。</w:t>
            </w:r>
          </w:p>
        </w:tc>
      </w:tr>
      <w:tr w14:paraId="62DD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NFR-10</w:t>
            </w:r>
          </w:p>
        </w:tc>
        <w:tc>
          <w:tcPr>
            <w:tcW w:w="1502" w:type="dxa"/>
            <w:vAlign w:val="center"/>
          </w:tcPr>
          <w:p>
            <w:r>
              <w:t>操作审计</w:t>
            </w:r>
          </w:p>
        </w:tc>
        <w:tc>
          <w:tcPr>
            <w:tcW w:w="4535" w:type="dxa"/>
            <w:vAlign w:val="center"/>
          </w:tcPr>
          <w:p>
            <w:r>
              <w:t>冻结、解冻、限额变更、核对和恢复记录操作者、时间、对象、原因与结果。</w:t>
            </w:r>
          </w:p>
        </w:tc>
        <w:tc>
          <w:tcPr>
            <w:tcW w:w="2551" w:type="dxa"/>
            <w:vAlign w:val="center"/>
          </w:tcPr>
          <w:p>
            <w:r>
              <w:t>审计记录抽查。</w:t>
            </w:r>
          </w:p>
        </w:tc>
      </w:tr>
      <w:tr w14:paraId="62DD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NFR-12</w:t>
            </w:r>
          </w:p>
        </w:tc>
        <w:tc>
          <w:tcPr>
            <w:tcW w:w="1502" w:type="dxa"/>
            <w:vAlign w:val="center"/>
          </w:tcPr>
          <w:p>
            <w:r>
              <w:t>可维护性</w:t>
            </w:r>
          </w:p>
        </w:tc>
        <w:tc>
          <w:tcPr>
            <w:tcW w:w="4535" w:type="dxa"/>
            <w:vAlign w:val="center"/>
          </w:tcPr>
          <w:p>
            <w:r>
              <w:t>限额与规则参数配置化，调整无需修改交易核心逻辑。</w:t>
            </w:r>
          </w:p>
        </w:tc>
        <w:tc>
          <w:tcPr>
            <w:tcW w:w="2551" w:type="dxa"/>
            <w:vAlign w:val="center"/>
          </w:tcPr>
          <w:p>
            <w:r>
              <w:t>配置变更演示。</w:t>
            </w:r>
          </w:p>
        </w:tc>
      </w:tr>
      <w:tr w14:paraId="62DD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vAlign w:val="center"/>
          </w:tcPr>
          <w:p>
            <w:r>
              <w:t>NFR-14</w:t>
            </w:r>
          </w:p>
        </w:tc>
        <w:tc>
          <w:tcPr>
            <w:tcW w:w="1502" w:type="dxa"/>
            <w:vAlign w:val="center"/>
          </w:tcPr>
          <w:p>
            <w:r>
              <w:t>兼容性</w:t>
            </w:r>
          </w:p>
        </w:tc>
        <w:tc>
          <w:tcPr>
            <w:tcW w:w="4535" w:type="dxa"/>
            <w:vAlign w:val="center"/>
          </w:tcPr>
          <w:p>
            <w:r>
              <w:t>页面在 Chrome、Edge 最近两个大版本及 1366×768 以上分辨率可用。</w:t>
            </w:r>
          </w:p>
        </w:tc>
        <w:tc>
          <w:tcPr>
            <w:tcW w:w="2551" w:type="dxa"/>
            <w:vAlign w:val="center"/>
          </w:tcPr>
          <w:p>
            <w:r>
              <w:t>手工浏览器检查。</w:t>
            </w:r>
          </w:p>
        </w:tc>
      </w:tr>
    </w:tbl>
    <w:p w14:paraId="541A66BA">
      <w:pPr>
        <w:spacing w:after="20"/>
      </w:pPr>
    </w:p>
    <w:p w14:paraId="002CBC88">
      <w:pPr>
        <w:pStyle w:val="3"/>
        <w:pageBreakBefore/>
      </w:pPr>
      <w:r>
        <w:rPr>
          <w:rFonts w:ascii="微软雅黑" w:hAnsi="微软雅黑" w:eastAsia="微软雅黑" w:cs="微软雅黑"/>
          <w:b/>
          <w:sz w:val="28"/>
        </w:rPr>
        <w:t>4 整合追溯与版本说明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5669"/>
        <w:gridCol w:w="2636"/>
      </w:tblGrid>
      <w:tr w14:paraId="7686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9" w:type="dxa"/>
            <w:shd w:val="clear" w:color="auto" w:fill="EAF1F5"/>
            <w:vAlign w:val="center"/>
          </w:tcPr>
          <w:p>
            <w:r>
              <w:t>来源</w:t>
            </w:r>
          </w:p>
        </w:tc>
        <w:tc>
          <w:tcPr>
            <w:tcW w:w="5669" w:type="dxa"/>
            <w:shd w:val="clear" w:color="auto" w:fill="EAF1F5"/>
            <w:vAlign w:val="center"/>
          </w:tcPr>
          <w:p>
            <w:r>
              <w:t>本文采用的内容</w:t>
            </w:r>
          </w:p>
        </w:tc>
        <w:tc>
          <w:tcPr>
            <w:tcW w:w="2636" w:type="dxa"/>
            <w:shd w:val="clear" w:color="auto" w:fill="EAF1F5"/>
            <w:vAlign w:val="center"/>
          </w:tcPr>
          <w:p>
            <w:r>
              <w:t>整合处理</w:t>
            </w:r>
          </w:p>
        </w:tc>
      </w:tr>
      <w:tr w14:paraId="1631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S2 账户与交易材料</w:t>
            </w:r>
          </w:p>
        </w:tc>
        <w:tc>
          <w:tcPr>
            <w:tcW w:w="5669" w:type="dxa"/>
            <w:vAlign w:val="center"/>
          </w:tcPr>
          <w:p>
            <w:r>
              <w:t>账户与交易用例编号、事件流、业务规则及异常分支</w:t>
            </w:r>
          </w:p>
        </w:tc>
        <w:tc>
          <w:tcPr>
            <w:tcW w:w="2636" w:type="dxa"/>
            <w:vAlign w:val="center"/>
          </w:tcPr>
          <w:p>
            <w:r>
              <w:t>保留注销、个人限额、回单、待确认核对与恢复用例；BR 编号和模拟金额以 S2 专项稿为准。</w:t>
            </w:r>
          </w:p>
        </w:tc>
      </w:tr>
      <w:tr w14:paraId="71A8A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S3 角色与风控</w:t>
            </w:r>
          </w:p>
        </w:tc>
        <w:tc>
          <w:tcPr>
            <w:tcW w:w="5669" w:type="dxa"/>
            <w:vAlign w:val="center"/>
          </w:tcPr>
          <w:p>
            <w:r>
              <w:t>角色权限、风控规则、NFR 编号与指标</w:t>
            </w:r>
          </w:p>
        </w:tc>
        <w:tc>
          <w:tcPr>
            <w:tcW w:w="2636" w:type="dxa"/>
            <w:vAlign w:val="center"/>
          </w:tcPr>
          <w:p>
            <w:r>
              <w:t>冻结与限额规则同 S2；规则配置、名单及告警用例保留，原型实现优先级待确认。</w:t>
            </w:r>
          </w:p>
        </w:tc>
      </w:tr>
      <w:tr w14:paraId="73F7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S4 故事地图及用户故事清单</w:t>
            </w:r>
          </w:p>
        </w:tc>
        <w:tc>
          <w:tcPr>
            <w:tcW w:w="5669" w:type="dxa"/>
            <w:vAlign w:val="center"/>
          </w:tcPr>
          <w:p>
            <w:r>
              <w:t>用户活动、Must/Should/Could 和验收要点</w:t>
            </w:r>
          </w:p>
        </w:tc>
        <w:tc>
          <w:tcPr>
            <w:tcW w:w="2636" w:type="dxa"/>
            <w:vAlign w:val="center"/>
          </w:tcPr>
          <w:p>
            <w:r>
              <w:t>纳入注销与跨行转账的 Must 故事；回单、核对和恢复分别按清单跟踪。</w:t>
            </w:r>
          </w:p>
        </w:tc>
      </w:tr>
      <w:tr w14:paraId="278E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S5 候选类与 CRC</w:t>
            </w:r>
          </w:p>
        </w:tc>
        <w:tc>
          <w:tcPr>
            <w:tcW w:w="5669" w:type="dxa"/>
            <w:vAlign w:val="center"/>
          </w:tcPr>
          <w:p>
            <w:r>
              <w:t>名词短语筛选、CRC 职责与候选领域关系</w:t>
            </w:r>
          </w:p>
        </w:tc>
        <w:tc>
          <w:tcPr>
            <w:tcW w:w="2636" w:type="dxa"/>
            <w:vAlign w:val="center"/>
          </w:tcPr>
          <w:p>
            <w:r>
              <w:t>保留银行卡、告警及对账等候选概念供范围评审；账户基数与 S2/S4 有分歧，待 S5 复核。</w:t>
            </w:r>
          </w:p>
        </w:tc>
      </w:tr>
      <w:tr w14:paraId="29E1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>
            <w:r>
              <w:t>讨论纪要与 Backlog</w:t>
            </w:r>
          </w:p>
        </w:tc>
        <w:tc>
          <w:tcPr>
            <w:tcW w:w="5669" w:type="dxa"/>
            <w:vAlign w:val="center"/>
          </w:tcPr>
          <w:p>
            <w:r>
              <w:t>跨组整合与任务跟踪</w:t>
            </w:r>
          </w:p>
        </w:tc>
        <w:tc>
          <w:tcPr>
            <w:tcW w:w="2636" w:type="dxa"/>
            <w:vAlign w:val="center"/>
          </w:tcPr>
          <w:p>
            <w:r>
              <w:t>两者先前使用的 BR 编号、范围和优先级与组员专项稿不一致，以专项稿为本版依据；最终仍需小组统一。</w:t>
            </w:r>
          </w:p>
        </w:tc>
      </w:tr>
    </w:tbl>
    <w:p w14:paraId="310F930C">
      <w:pPr>
        <w:spacing w:after="20"/>
      </w:pPr>
    </w:p>
    <w:p w14:paraId="68D21811">
      <w:pPr>
        <w:widowControl/>
      </w:pPr>
      <w:r>
        <w:rPr>
          <w:rFonts w:ascii="微软雅黑" w:hAnsi="微软雅黑" w:eastAsia="微软雅黑" w:cs="微软雅黑"/>
          <w:sz w:val="19"/>
        </w:rPr>
        <w:t>本说明书供小组按图表和规则继续开展实验二至实验四。若后续变更账户冻结、限额或跨行状态规则，应同步更新故事、用例、活动图、领域模型与验收用例，避免同一业务出现两种口径。</w:t>
      </w:r>
    </w:p>
    <w:sectPr>
      <w:footerReference r:id="rId5" w:type="default"/>
      <w:pgSz w:w="11906" w:h="16838"/>
      <w:pgMar w:top="1191" w:right="935" w:bottom="1134" w:left="935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AC8C8">
    <w:pPr>
      <w:pStyle w:val="24"/>
      <w:jc w:val="center"/>
    </w:pPr>
    <w:r>
      <w:rPr>
        <w:rFonts w:ascii="微软雅黑" w:hAnsi="微软雅黑" w:eastAsia="微软雅黑" w:cs="微软雅黑"/>
        <w:sz w:val="16"/>
      </w:rPr>
      <w:t>数字银行核心业务模拟系统 · 实验一需求规格说明书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B810A8"/>
    <w:rsid w:val="393233B8"/>
    <w:rsid w:val="4954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88" w:lineRule="auto"/>
      <w:ind w:firstLine="0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88" w:lineRule="auto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40" w:line="288" w:lineRule="auto"/>
      <w:outlineLvl w:val="1"/>
    </w:pPr>
    <w:rPr>
      <w:rFonts w:asciiTheme="majorHAnsi" w:hAnsiTheme="majorHAnsi" w:eastAsiaTheme="majorEastAsia" w:cstheme="majorBidi"/>
      <w:b/>
      <w:bCs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none" w:color="auto" w:sz="0" w:space="0"/>
      </w:pBdr>
      <w:spacing w:before="0" w:after="240" w:line="288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1493</Words>
  <Characters>1682</Characters>
  <Lines>0</Lines>
  <Paragraphs>0</Paragraphs>
  <TotalTime>3</TotalTime>
  <ScaleCrop>false</ScaleCrop>
  <LinksUpToDate>false</LinksUpToDate>
  <CharactersWithSpaces>1739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l.y</cp:lastModifiedBy>
  <dcterms:modified xsi:type="dcterms:W3CDTF">2026-10-26T11:10:23Z</dcterms:modified>
  <dc:subject>实验一需求分析与迭代规划</dc:subject>
  <dc:title>数字银行核心业务模拟系统需求规格说明书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eyJoZGlkIjoiYjgyOGQyODI3NTAyMDJjYmRjZmFkZWE1NDI5Y2Q4NDIiLCJ1c2VySWQiOiIxNjA3NDczMzM0In0=</vt:lpwstr>
  </property>
  <property fmtid="{D5CDD505-2E9C-101B-9397-08002B2CF9AE}" pid="3" name="KSOProductBuildVer">
    <vt:lpwstr>2052-12.1.0.29161</vt:lpwstr>
  </property>
  <property fmtid="{D5CDD505-2E9C-101B-9397-08002B2CF9AE}" pid="4" name="ICV">
    <vt:lpwstr>336E0EFAA9A04F54AFD538F596E8C2E2_12</vt:lpwstr>
  </property>
</Properties>
</file>