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专利D 查新与创新点分析报告</w:t>
      </w:r>
    </w:p>
    <w:p>
      <w:r>
        <w:t>发明名称：一种基于杆件级置信度与结构灵敏度的输电塔无人机补测视点规划方法、系统及机载实时评估装置</w:t>
      </w:r>
    </w:p>
    <w:p>
      <w:pPr>
        <w:pStyle w:val="Heading1"/>
      </w:pPr>
      <w:r>
        <w:t>1. 背景与定位</w:t>
      </w:r>
    </w:p>
    <w:p>
      <w:r>
        <w:t>论文 PTM（clean_dump.txt）以 ULS 点云“节点优先”重建 LoD3 桁架并做有限元变形分析，但存在：点稀/遮挡导致局部杆件缺失（Fig.12 b-I）、无逐杆件可信度输出、无补测机制、截面统一假设。前期评估（00_候选专利池评估与两项定稿.md，P1/C5）认为“NBV/覆盖规划文献与巡检航线专利多，单独成案创造性偏弱，并入A从属”。本报告按用户要求单独成案，正面评估如下。</w:t>
      </w:r>
    </w:p>
    <w:p>
      <w:pPr>
        <w:pStyle w:val="Heading1"/>
      </w:pPr>
      <w:r>
        <w:t>2. 最接近现有技术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文献</w:t>
            </w:r>
          </w:p>
        </w:tc>
        <w:tc>
          <w:tcPr>
            <w:tcW w:type="dxa" w:w="2160"/>
          </w:tcPr>
          <w:p>
            <w:r>
              <w:t>公开内容</w:t>
            </w:r>
          </w:p>
        </w:tc>
        <w:tc>
          <w:tcPr>
            <w:tcW w:type="dxa" w:w="2160"/>
          </w:tcPr>
          <w:p>
            <w:r>
              <w:t>与D的差异</w:t>
            </w:r>
          </w:p>
        </w:tc>
      </w:tr>
      <w:tr>
        <w:tc>
          <w:tcPr>
            <w:tcW w:type="dxa" w:w="2160"/>
          </w:tcPr>
          <w:p>
            <w:r>
              <w:t>D1</w:t>
            </w:r>
          </w:p>
        </w:tc>
        <w:tc>
          <w:tcPr>
            <w:tcW w:type="dxa" w:w="2160"/>
          </w:tcPr>
          <w:p>
            <w:r>
              <w:t>R07 Sportich 2025 质量引导 UAV 表面探索</w:t>
            </w:r>
          </w:p>
        </w:tc>
        <w:tc>
          <w:tcPr>
            <w:tcW w:type="dxa" w:w="2160"/>
          </w:tcPr>
          <w:p>
            <w:r>
              <w:t>以重建表面质量（点密度/入射角）引导下一视点</w:t>
            </w:r>
          </w:p>
        </w:tc>
        <w:tc>
          <w:tcPr>
            <w:tcW w:type="dxa" w:w="2160"/>
          </w:tcPr>
          <w:p>
            <w:r>
              <w:t>质量是表面几何量，未关联结构力学重要性，无带电约束，无杆件语义</w:t>
            </w:r>
          </w:p>
        </w:tc>
      </w:tr>
      <w:tr>
        <w:tc>
          <w:tcPr>
            <w:tcW w:type="dxa" w:w="2160"/>
          </w:tcPr>
          <w:p>
            <w:r>
              <w:t>D2</w:t>
            </w:r>
          </w:p>
        </w:tc>
        <w:tc>
          <w:tcPr>
            <w:tcW w:type="dxa" w:w="2160"/>
          </w:tcPr>
          <w:p>
            <w:r>
              <w:t>R10 Roberts 2017 子模航迹优化</w:t>
            </w:r>
          </w:p>
        </w:tc>
        <w:tc>
          <w:tcPr>
            <w:tcW w:type="dxa" w:w="2160"/>
          </w:tcPr>
          <w:p>
            <w:r>
              <w:t>覆盖函数子模性 + 子模定向（orienteering）求航迹</w:t>
            </w:r>
          </w:p>
        </w:tc>
        <w:tc>
          <w:tcPr>
            <w:tcW w:type="dxa" w:w="2160"/>
          </w:tcPr>
          <w:p>
            <w:r>
              <w:t>目标为表面覆盖，权重均匀；无结构灵敏度、无安全壳</w:t>
            </w:r>
          </w:p>
        </w:tc>
      </w:tr>
      <w:tr>
        <w:tc>
          <w:tcPr>
            <w:tcW w:type="dxa" w:w="2160"/>
          </w:tcPr>
          <w:p>
            <w:r>
              <w:t>D3</w:t>
            </w:r>
          </w:p>
        </w:tc>
        <w:tc>
          <w:tcPr>
            <w:tcW w:type="dxa" w:w="2160"/>
          </w:tcPr>
          <w:p>
            <w:r>
              <w:t>R09 FC-Planner 2023</w:t>
            </w:r>
          </w:p>
        </w:tc>
        <w:tc>
          <w:tcPr>
            <w:tcW w:type="dxa" w:w="2160"/>
          </w:tcPr>
          <w:p>
            <w:r>
              <w:t>骨架引导的覆盖规划</w:t>
            </w:r>
          </w:p>
        </w:tc>
        <w:tc>
          <w:tcPr>
            <w:tcW w:type="dxa" w:w="2160"/>
          </w:tcPr>
          <w:p>
            <w:r>
              <w:t>骨架用于空间分解，不评估杆件置信度</w:t>
            </w:r>
          </w:p>
        </w:tc>
      </w:tr>
      <w:tr>
        <w:tc>
          <w:tcPr>
            <w:tcW w:type="dxa" w:w="2160"/>
          </w:tcPr>
          <w:p>
            <w:r>
              <w:t>D4</w:t>
            </w:r>
          </w:p>
        </w:tc>
        <w:tc>
          <w:tcPr>
            <w:tcW w:type="dxa" w:w="2160"/>
          </w:tcPr>
          <w:p>
            <w:r>
              <w:t>R08 FU-MPC 2026</w:t>
            </w:r>
          </w:p>
        </w:tc>
        <w:tc>
          <w:tcPr>
            <w:tcW w:type="dxa" w:w="2160"/>
          </w:tcPr>
          <w:p>
            <w:r>
              <w:t>前沿+定位不确定性感知 MPC</w:t>
            </w:r>
          </w:p>
        </w:tc>
        <w:tc>
          <w:tcPr>
            <w:tcW w:type="dxa" w:w="2160"/>
          </w:tcPr>
          <w:p>
            <w:r>
              <w:t>不确定性指位姿/地图，非结构参数</w:t>
            </w:r>
          </w:p>
        </w:tc>
      </w:tr>
      <w:tr>
        <w:tc>
          <w:tcPr>
            <w:tcW w:type="dxa" w:w="2160"/>
          </w:tcPr>
          <w:p>
            <w:r>
              <w:t>D5</w:t>
            </w:r>
          </w:p>
        </w:tc>
        <w:tc>
          <w:tcPr>
            <w:tcW w:type="dxa" w:w="2160"/>
          </w:tcPr>
          <w:p>
            <w:r>
              <w:t>R13 Sportich 2026 多机质量自适应</w:t>
            </w:r>
          </w:p>
        </w:tc>
        <w:tc>
          <w:tcPr>
            <w:tcW w:type="dxa" w:w="2160"/>
          </w:tcPr>
          <w:p>
            <w:r>
              <w:t>在线质量评估与任务重分配</w:t>
            </w:r>
          </w:p>
        </w:tc>
        <w:tc>
          <w:tcPr>
            <w:tcW w:type="dxa" w:w="2160"/>
          </w:tcPr>
          <w:p>
            <w:r>
              <w:t>在线评估为表面质量，停止判据非结构指标</w:t>
            </w:r>
          </w:p>
        </w:tc>
      </w:tr>
      <w:tr>
        <w:tc>
          <w:tcPr>
            <w:tcW w:type="dxa" w:w="2160"/>
          </w:tcPr>
          <w:p>
            <w:r>
              <w:t>D6</w:t>
            </w:r>
          </w:p>
        </w:tc>
        <w:tc>
          <w:tcPr>
            <w:tcW w:type="dxa" w:w="2160"/>
          </w:tcPr>
          <w:p>
            <w:r>
              <w:t>R11 综述 2022</w:t>
            </w:r>
          </w:p>
        </w:tc>
        <w:tc>
          <w:tcPr>
            <w:tcW w:type="dxa" w:w="2160"/>
          </w:tcPr>
          <w:p>
            <w:r>
              <w:t>NBV/覆盖路径规划综述</w:t>
            </w:r>
          </w:p>
        </w:tc>
        <w:tc>
          <w:tcPr>
            <w:tcW w:type="dxa" w:w="2160"/>
          </w:tcPr>
          <w:p>
            <w:r>
              <w:t>普遍公开“信息增益+TSP”框架</w:t>
            </w:r>
          </w:p>
        </w:tc>
      </w:tr>
      <w:tr>
        <w:tc>
          <w:tcPr>
            <w:tcW w:type="dxa" w:w="2160"/>
          </w:tcPr>
          <w:p>
            <w:r>
              <w:t>D7</w:t>
            </w:r>
          </w:p>
        </w:tc>
        <w:tc>
          <w:tcPr>
            <w:tcW w:type="dxa" w:w="2160"/>
          </w:tcPr>
          <w:p>
            <w:r>
              <w:t>patent_hits：CN121297805A（铁塔股份，无人机协同优化）、CN119152120A（广东电网，塔三维重建）、CN117058410A（福建经研院，杆件局部变形检测）</w:t>
            </w:r>
          </w:p>
        </w:tc>
        <w:tc>
          <w:tcPr>
            <w:tcW w:type="dxa" w:w="2160"/>
          </w:tcPr>
          <w:p>
            <w:r>
              <w:t>巡检航线/重建/杆件变形</w:t>
            </w:r>
          </w:p>
        </w:tc>
        <w:tc>
          <w:tcPr>
            <w:tcW w:type="dxa" w:w="2160"/>
          </w:tcPr>
          <w:p>
            <w:r>
              <w:t>无“置信度×有限元灵敏度”的补测视点选择</w:t>
            </w:r>
          </w:p>
        </w:tc>
      </w:tr>
      <w:tr>
        <w:tc>
          <w:tcPr>
            <w:tcW w:type="dxa" w:w="2160"/>
          </w:tcPr>
          <w:p>
            <w:r>
              <w:t>D8</w:t>
            </w:r>
          </w:p>
        </w:tc>
        <w:tc>
          <w:tcPr>
            <w:tcW w:type="dxa" w:w="2160"/>
          </w:tcPr>
          <w:p>
            <w:r>
              <w:t>T01 DL/T 409—2023</w:t>
            </w:r>
          </w:p>
        </w:tc>
        <w:tc>
          <w:tcPr>
            <w:tcW w:type="dxa" w:w="2160"/>
          </w:tcPr>
          <w:p>
            <w:r>
              <w:t>各电压等级设备不停电安全距离（表1）</w:t>
            </w:r>
          </w:p>
        </w:tc>
        <w:tc>
          <w:tcPr>
            <w:tcW w:type="dxa" w:w="2160"/>
          </w:tcPr>
          <w:p>
            <w:r>
              <w:t>标准仅给距离值，未用作视点采样的几何约束体</w:t>
            </w:r>
          </w:p>
        </w:tc>
      </w:tr>
      <w:tr>
        <w:tc>
          <w:tcPr>
            <w:tcW w:type="dxa" w:w="2160"/>
          </w:tcPr>
          <w:p>
            <w:r>
              <w:t>E1</w:t>
            </w:r>
          </w:p>
        </w:tc>
        <w:tc>
          <w:tcPr>
            <w:tcW w:type="dxa" w:w="2160"/>
          </w:tcPr>
          <w:p>
            <w:r>
              <w:t>专利A 权利要求13、14（本申请人，未公开）</w:t>
            </w:r>
          </w:p>
        </w:tc>
        <w:tc>
          <w:tcPr>
            <w:tcW w:type="dxa" w:w="2160"/>
          </w:tcPr>
          <w:p>
            <w:r>
              <w:t>灵敏度矩阵×置信度的风险加权信息增益 tr(AΣ)−tr(A(Σ⁻¹+H)⁻¹)，带电安全壳</w:t>
            </w:r>
          </w:p>
        </w:tc>
        <w:tc>
          <w:tcPr>
            <w:tcW w:type="dxa" w:w="2160"/>
          </w:tcPr>
          <w:p>
            <w:r>
              <w:t>见第4节，抵触申请/重复授权风险核心</w:t>
            </w:r>
          </w:p>
        </w:tc>
      </w:tr>
    </w:tbl>
    <w:p>
      <w:pPr>
        <w:pStyle w:val="Heading1"/>
      </w:pPr>
      <w:r>
        <w:t>3. 创造性正面评估</w:t>
      </w:r>
    </w:p>
    <w:p>
      <w:r>
        <w:t>单项特征均有公开：信息增益NBV（D1、D2、D6）、子模贪心（D2）、TSP航线（D6）、安全距离（D8）。若独立权利要求只写“置信度驱动NBV+安全距离”，将被 D1+D2+D8 组合评价为显而易见，结论与前期一致。</w:t>
      </w:r>
    </w:p>
    <w:p>
      <w:r>
        <w:t>可成立创造性的组合（独立权利要求落点）：</w:t>
      </w:r>
    </w:p>
    <w:p>
      <w:r>
        <w:t>1. 结构灵敏度加权的杆件置信度信息增益：置信度为逐杆件量（点数、视角覆盖、对称一致性三态：一致/可补/破缺），权重为该杆件截面与位置不确定性对塔顶位移、关键杆件应力比、前若干阶频率的有限元灵敏度。D1~D6 的增益均为几何覆盖或地图熵，无结构响应维度；且“破缺”态（真实不对称，如高低腿、损伤）被排除出对称补全、反而提升补测优先级，属现有技术未给出的启示。</w:t>
      </w:r>
    </w:p>
    <w:p>
      <w:r>
        <w:t>2. 带电安全壳约束：按电压等级取 DL/T 409 最小安全距离，叠加 GNSS/RTK 定位误差、飞控跟踪误差、风扰漂移与机体外廓半径构成扩张体，候选视点仅在壳外采样，航段离散点逐点校核。D8 只给标量距离，无“壳外采样+航段校核”的规划机制。</w:t>
      </w:r>
    </w:p>
    <w:p>
      <w:r>
        <w:t>3. 机上闭环停止判据：机载装置对新到点云增量更新受影响杆件的置信度与结构加权风险，当结构加权剩余不确定度低于阈值、或所有灵敏度前K杆件脱离“可补”态即停止，并在线删减剩余视点重排航线。D5 有在线质量评估但停止判据为表面质量。</w:t>
      </w:r>
    </w:p>
    <w:p>
      <w:r>
        <w:t>技术效果：以结构风险而非几何覆盖分配飞行资源，同等航时下塔顶位移/应力比预测不确定度下降【待填:不确定度下降比例】，补测视点数减少【待填:视点减少比例】，安全壳违规航段为0。</w:t>
      </w:r>
    </w:p>
    <w:p>
      <w:r>
        <w:t>结论：三者组合具备单独成案的新颖性与创造性的合理基础，但创造性强度中等，审查中可能被以 D1+D2+D8+通用FE灵敏度 组合质疑；需在说明书中充分记载协同效果（灵敏度权重改变视点排序、破缺态处理、停止判据节省航时）与对比数据。</w:t>
      </w:r>
    </w:p>
    <w:p>
      <w:pPr>
        <w:pStyle w:val="Heading1"/>
      </w:pPr>
      <w:r>
        <w:t>4. 与专利A的抵触申请风险及建议</w:t>
      </w:r>
    </w:p>
    <w:p>
      <w:r>
        <w:t>风险：A 权利要求13已记载“有限元灵敏度矩阵×杆件置信度构造风险加权矩阵、信息增益减飞行代价、序贯贪心”，权利要求14记载“按电压等级最小安全距离+定位误差裕量+外廓半径构成带电安全壳”。若A先于D申请，A的说明书构成D的抵触申请（专利法第22条第2款），D中与A相同的技术方案丧失新颖性；若同日申请且权利要求相同，构成第9条重复授权，需二选一。</w:t>
      </w:r>
    </w:p>
    <w:p>
      <w:r>
        <w:t>建议：</w:t>
      </w:r>
    </w:p>
    <w:p>
      <w:r>
        <w:t>1. A 与 D 同日递交（同一天，不同申请号），避免A成为D的抵触申请；同日申请仅需避免“同样的发明创造”。</w:t>
      </w:r>
    </w:p>
    <w:p>
      <w:r>
        <w:t>2. 收窄或删除A权利要求13、14：建议A只保留“以A的拉普拉斯协方差为输入、引用补测”的一句话从属，不写安全壳细节；或保留但措辞限定于“由所述拉普拉斯近似协方差”且无三态、无停止判据。</w:t>
      </w:r>
    </w:p>
    <w:p>
      <w:r>
        <w:t>3. D 的独立权利要求不依赖高斯泼溅：置信度由点云统计（点数、视角覆盖、对称三态）计算，适用于 PTM 类任意桁架重建结果；说明书不披露A的面元高斯生成、无回波负证据等内容，仅称“任意杆件级桁架重建方法”。</w:t>
      </w:r>
    </w:p>
    <w:p>
      <w:r>
        <w:t>4. D 的信息增益采用逐杆件置信度形式（非A的 tr(AΣ) 矩阵形式），与A在表述和技术特征上明确区别。</w:t>
      </w:r>
    </w:p>
    <w:p>
      <w:r>
        <w:t>5. 若D后于A申请，须确保独立权利要求含三态判别与机上停止判据这两项A未记载的特征。</w:t>
      </w:r>
    </w:p>
    <w:p>
      <w:pPr>
        <w:pStyle w:val="Heading1"/>
      </w:pPr>
      <w:r>
        <w:t>5. 权利要求布局</w:t>
      </w:r>
    </w:p>
    <w:p>
      <w:r>
        <w:t>独立：方法（1）、系统（12）、机载实时评估装置（15）、存储介质（20）。从属：三态判据、灵敏度计算（伴随法/有限差分）、安全壳构造、候选视点采样、子模贪心+TSP、增量评估与停止、破缺态处理、电压等级查表、航段校核与替代视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