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技术交底书</w:t>
      </w:r>
    </w:p>
    <w:p>
      <w:pPr>
        <w:pStyle w:val="Heading1"/>
      </w:pPr>
      <w:r>
        <w:t>1. 发明名称</w:t>
      </w:r>
    </w:p>
    <w:p>
      <w:r>
        <w:t>一种基于杆件级置信度与结构灵敏度的输电塔无人机补测视点规划方法、系统及机载实时评估装置</w:t>
      </w:r>
    </w:p>
    <w:p>
      <w:pPr>
        <w:pStyle w:val="Heading1"/>
      </w:pPr>
      <w:r>
        <w:t>2. 技术领域</w:t>
      </w:r>
    </w:p>
    <w:p>
      <w:r>
        <w:t>输电线路无人机巡检、结构数字化与有限元评估。</w:t>
      </w:r>
    </w:p>
    <w:p>
      <w:pPr>
        <w:pStyle w:val="Heading1"/>
      </w:pPr>
      <w:r>
        <w:t>3. 现有技术及缺点</w:t>
      </w:r>
    </w:p>
    <w:p>
      <w:r>
        <w:t>- PTM 类节点优先桁架重建：点稀遮挡漏杆，无逐杆件置信度，无补测。</w:t>
      </w:r>
    </w:p>
    <w:p>
      <w:r>
        <w:t>- 质量引导/子模/骨架覆盖规划（Sportich 2025/2026、Roberts 2017、FC-Planner）：增益为几何覆盖，不区分杆件结构重要性；离线规划，无结构停止判据。</w:t>
      </w:r>
    </w:p>
    <w:p>
      <w:r>
        <w:t>- DL/T 409 只给安全距离数值，规划中未构成约束体。</w:t>
      </w:r>
    </w:p>
    <w:p>
      <w:pPr>
        <w:pStyle w:val="Heading1"/>
      </w:pPr>
      <w:r>
        <w:t>4. 要解决的问题</w:t>
      </w:r>
    </w:p>
    <w:p>
      <w:r>
        <w:t>补测以结构重要性为导向；带电安全约束下自动规划；机上闭环停止。</w:t>
      </w:r>
    </w:p>
    <w:p>
      <w:pPr>
        <w:pStyle w:val="Heading1"/>
      </w:pPr>
      <w:r>
        <w:t>5. 技术方案</w:t>
      </w:r>
    </w:p>
    <w:p>
      <w:r>
        <w:t>见说明书 S1–S7：三态判别置信度 → 有限元灵敏度加权风险 → 带电安全壳 → 壳外候选视点与结构加权信息增益 → 子模贪心+TSP → 机上增量评估与停止。装置：激光扫描头、相机、GNSS/INS、机载计算单元、航点接口、存储（灵敏度表、安全壳）、倾角调节机构、减振挂架、数传。</w:t>
      </w:r>
    </w:p>
    <w:p>
      <w:pPr>
        <w:pStyle w:val="Heading1"/>
      </w:pPr>
      <w:r>
        <w:t>6. 关键点与欲保护点</w:t>
      </w:r>
    </w:p>
    <w:p>
      <w:r>
        <w:t>1. 置信度×灵敏度的结构加权信息增益；2. 一致/可补/破缺三态，破缺态提高优先级而不对称补全；3. 电压等级安全距离+误差裕度安全壳，壳外采样与航段校核；4. 机上剩余结构风险停止判据。</w:t>
      </w:r>
    </w:p>
    <w:p>
      <w:pPr>
        <w:pStyle w:val="Heading1"/>
      </w:pPr>
      <w:r>
        <w:t>7. 与专利A关系</w:t>
      </w:r>
    </w:p>
    <w:p>
      <w:r>
        <w:t>独立于高斯泼溅，适用于任意杆件级桁架重建结果；A、D 建议同日申请，A 的补测从属（权利要求13、14）宜删减或收窄。</w:t>
      </w:r>
    </w:p>
    <w:p>
      <w:pPr>
        <w:pStyle w:val="Heading1"/>
      </w:pPr>
      <w:r>
        <w:t>8. 效果数据</w:t>
      </w:r>
    </w:p>
    <w:p>
      <w:r>
        <w:t>不确定度下降【待填:不确定度下降比例】；视点减少【待填:视点减少比例】；航时节省【待填:航时节省比例】；安全壳侵入 0。</w:t>
      </w:r>
    </w:p>
    <w:p>
      <w:pPr>
        <w:pStyle w:val="Heading1"/>
      </w:pPr>
      <w:r>
        <w:t>9. 附图</w:t>
      </w:r>
    </w:p>
    <w:p>
      <w:r>
        <w:t>图1流程、图2系统框图、图3三态判别、图4置信度×灵敏度、图5安全壳与候选视点、图6补测航线、图7机载装置框图、图8装置结构、图9仿真结果。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