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BCC82">
      <w:pPr>
        <w:spacing w:line="560" w:lineRule="exact"/>
        <w:jc w:val="both"/>
        <w:rPr>
          <w:rFonts w:ascii="黑体" w:hAnsi="黑体" w:eastAsia="黑体" w:cs="Times New Roman"/>
          <w:b/>
          <w:color w:val="000000" w:themeColor="text1"/>
          <w:sz w:val="40"/>
          <w:szCs w:val="44"/>
          <w:highlight w:val="none"/>
          <w14:textFill>
            <w14:solidFill>
              <w14:schemeClr w14:val="tx1"/>
            </w14:solidFill>
          </w14:textFill>
        </w:rPr>
      </w:pPr>
      <w:bookmarkStart w:id="0" w:name="_Toc376438088"/>
      <w:bookmarkStart w:id="1" w:name="_Toc358015881"/>
      <w:bookmarkStart w:id="2" w:name="_Toc357604136"/>
      <w:bookmarkStart w:id="3" w:name="_Toc357601277"/>
      <w:bookmarkStart w:id="4" w:name="_Toc376528612"/>
    </w:p>
    <w:p w14:paraId="5267BB40">
      <w:pPr>
        <w:jc w:val="center"/>
        <w:rPr>
          <w:rFonts w:ascii="黑体" w:hAnsi="黑体" w:eastAsia="黑体" w:cs="Times New Roman"/>
          <w:b/>
          <w:color w:val="000000" w:themeColor="text1"/>
          <w:sz w:val="40"/>
          <w:szCs w:val="44"/>
          <w:highlight w:val="none"/>
          <w14:textFill>
            <w14:solidFill>
              <w14:schemeClr w14:val="tx1"/>
            </w14:solidFill>
          </w14:textFill>
        </w:rPr>
      </w:pPr>
    </w:p>
    <w:p w14:paraId="7D30796C">
      <w:pPr>
        <w:jc w:val="both"/>
        <w:rPr>
          <w:rFonts w:ascii="黑体" w:hAnsi="黑体" w:eastAsia="黑体" w:cs="Times New Roman"/>
          <w:b/>
          <w:color w:val="000000" w:themeColor="text1"/>
          <w:sz w:val="40"/>
          <w:szCs w:val="44"/>
          <w:highlight w:val="none"/>
          <w14:textFill>
            <w14:solidFill>
              <w14:schemeClr w14:val="tx1"/>
            </w14:solidFill>
          </w14:textFill>
        </w:rPr>
      </w:pPr>
    </w:p>
    <w:p w14:paraId="53F5AFE5">
      <w:pPr>
        <w:adjustRightInd w:val="0"/>
        <w:snapToGrid w:val="0"/>
        <w:spacing w:line="360" w:lineRule="auto"/>
        <w:jc w:val="center"/>
        <w:outlineLvl w:val="0"/>
        <w:rPr>
          <w:rFonts w:ascii="华文中宋" w:hAnsi="华文中宋" w:eastAsia="华文中宋" w:cs="华文中宋"/>
          <w:b w:val="0"/>
          <w:bCs/>
          <w:color w:val="000000" w:themeColor="text1"/>
          <w:sz w:val="44"/>
          <w:szCs w:val="44"/>
          <w:highlight w:val="none"/>
          <w14:textFill>
            <w14:solidFill>
              <w14:schemeClr w14:val="tx1"/>
            </w14:solidFill>
          </w14:textFill>
        </w:rPr>
      </w:pPr>
      <w:bookmarkStart w:id="5" w:name="_Toc2829"/>
      <w:bookmarkStart w:id="6" w:name="_Toc6327"/>
      <w:bookmarkStart w:id="7" w:name="_Toc12212"/>
      <w:bookmarkStart w:id="8" w:name="_Toc26024"/>
      <w:bookmarkStart w:id="9" w:name="_Toc22034"/>
      <w:bookmarkStart w:id="10" w:name="_Toc21877"/>
      <w:r>
        <w:rPr>
          <w:rFonts w:hint="eastAsia" w:ascii="华文中宋" w:hAnsi="华文中宋" w:eastAsia="华文中宋" w:cs="华文中宋"/>
          <w:b/>
          <w:color w:val="000000" w:themeColor="text1"/>
          <w:sz w:val="44"/>
          <w:szCs w:val="44"/>
          <w:highlight w:val="none"/>
          <w14:textFill>
            <w14:solidFill>
              <w14:schemeClr w14:val="tx1"/>
            </w14:solidFill>
          </w14:textFill>
        </w:rPr>
        <w:br w:type="textWrapping"/>
      </w:r>
      <w:r>
        <w:rPr>
          <w:rFonts w:hint="eastAsia" w:ascii="华文中宋" w:hAnsi="华文中宋" w:eastAsia="华文中宋" w:cs="华文中宋"/>
          <w:b w:val="0"/>
          <w:bCs/>
          <w:color w:val="000000" w:themeColor="text1"/>
          <w:sz w:val="44"/>
          <w:szCs w:val="44"/>
          <w:highlight w:val="none"/>
          <w:lang w:eastAsia="zh-CN"/>
          <w14:textFill>
            <w14:solidFill>
              <w14:schemeClr w14:val="tx1"/>
            </w14:solidFill>
          </w14:textFill>
        </w:rPr>
        <w:t>中国移动江苏公司</w:t>
      </w:r>
      <w:r>
        <w:rPr>
          <w:rFonts w:hint="eastAsia" w:ascii="华文中宋" w:hAnsi="华文中宋" w:eastAsia="华文中宋" w:cs="华文中宋"/>
          <w:b w:val="0"/>
          <w:bCs/>
          <w:color w:val="000000" w:themeColor="text1"/>
          <w:sz w:val="44"/>
          <w:szCs w:val="44"/>
          <w:highlight w:val="none"/>
          <w14:textFill>
            <w14:solidFill>
              <w14:schemeClr w14:val="tx1"/>
            </w14:solidFill>
          </w14:textFill>
        </w:rPr>
        <w:t>网络成本管理办法</w:t>
      </w:r>
      <w:bookmarkEnd w:id="5"/>
      <w:bookmarkEnd w:id="6"/>
      <w:bookmarkEnd w:id="7"/>
      <w:bookmarkEnd w:id="8"/>
      <w:bookmarkEnd w:id="9"/>
      <w:bookmarkEnd w:id="10"/>
    </w:p>
    <w:p w14:paraId="6037318D">
      <w:pPr>
        <w:adjustRightInd w:val="0"/>
        <w:snapToGrid w:val="0"/>
        <w:spacing w:line="360" w:lineRule="auto"/>
        <w:jc w:val="center"/>
        <w:rPr>
          <w:rFonts w:ascii="华文中宋" w:hAnsi="华文中宋" w:eastAsia="华文中宋" w:cs="华文中宋"/>
          <w:b w:val="0"/>
          <w:bCs/>
          <w:color w:val="000000" w:themeColor="text1"/>
          <w:sz w:val="44"/>
          <w:szCs w:val="44"/>
          <w:highlight w:val="none"/>
          <w14:textFill>
            <w14:solidFill>
              <w14:schemeClr w14:val="tx1"/>
            </w14:solidFill>
          </w14:textFill>
        </w:rPr>
      </w:pPr>
      <w:r>
        <w:rPr>
          <w:rFonts w:hint="eastAsia" w:ascii="华文中宋" w:hAnsi="华文中宋" w:eastAsia="华文中宋" w:cs="华文中宋"/>
          <w:b w:val="0"/>
          <w:bCs/>
          <w:color w:val="000000" w:themeColor="text1"/>
          <w:sz w:val="44"/>
          <w:szCs w:val="44"/>
          <w:highlight w:val="none"/>
          <w14:textFill>
            <w14:solidFill>
              <w14:schemeClr w14:val="tx1"/>
            </w14:solidFill>
          </w14:textFill>
        </w:rPr>
        <w:t>（202</w:t>
      </w:r>
      <w:r>
        <w:rPr>
          <w:rFonts w:hint="eastAsia" w:ascii="华文中宋" w:hAnsi="华文中宋" w:eastAsia="华文中宋" w:cs="华文中宋"/>
          <w:b w:val="0"/>
          <w:bCs/>
          <w:color w:val="000000" w:themeColor="text1"/>
          <w:sz w:val="44"/>
          <w:szCs w:val="44"/>
          <w:highlight w:val="none"/>
          <w:lang w:val="en-US" w:eastAsia="zh-CN"/>
          <w14:textFill>
            <w14:solidFill>
              <w14:schemeClr w14:val="tx1"/>
            </w14:solidFill>
          </w14:textFill>
        </w:rPr>
        <w:t>5</w:t>
      </w:r>
      <w:r>
        <w:rPr>
          <w:rFonts w:hint="eastAsia" w:ascii="华文中宋" w:hAnsi="华文中宋" w:eastAsia="华文中宋" w:cs="华文中宋"/>
          <w:b w:val="0"/>
          <w:bCs/>
          <w:color w:val="000000" w:themeColor="text1"/>
          <w:sz w:val="44"/>
          <w:szCs w:val="44"/>
          <w:highlight w:val="none"/>
          <w14:textFill>
            <w14:solidFill>
              <w14:schemeClr w14:val="tx1"/>
            </w14:solidFill>
          </w14:textFill>
        </w:rPr>
        <w:t>版）</w:t>
      </w:r>
      <w:bookmarkEnd w:id="0"/>
      <w:bookmarkEnd w:id="1"/>
      <w:bookmarkEnd w:id="2"/>
      <w:bookmarkEnd w:id="3"/>
      <w:bookmarkEnd w:id="4"/>
    </w:p>
    <w:p w14:paraId="745D7093">
      <w:pPr>
        <w:adjustRightInd w:val="0"/>
        <w:snapToGrid w:val="0"/>
        <w:spacing w:line="360" w:lineRule="auto"/>
        <w:jc w:val="center"/>
        <w:rPr>
          <w:rFonts w:ascii="华文中宋" w:hAnsi="华文中宋" w:eastAsia="华文中宋" w:cs="华文中宋"/>
          <w:b/>
          <w:color w:val="000000" w:themeColor="text1"/>
          <w:sz w:val="44"/>
          <w:szCs w:val="44"/>
          <w:highlight w:val="none"/>
          <w14:textFill>
            <w14:solidFill>
              <w14:schemeClr w14:val="tx1"/>
            </w14:solidFill>
          </w14:textFill>
        </w:rPr>
      </w:pPr>
    </w:p>
    <w:p w14:paraId="07C62C67">
      <w:pPr>
        <w:jc w:val="center"/>
        <w:rPr>
          <w:rFonts w:ascii="仿宋" w:hAnsi="仿宋" w:eastAsia="仿宋" w:cs="Times New Roman"/>
          <w:color w:val="000000" w:themeColor="text1"/>
          <w:sz w:val="44"/>
          <w:szCs w:val="44"/>
          <w:highlight w:val="none"/>
          <w14:textFill>
            <w14:solidFill>
              <w14:schemeClr w14:val="tx1"/>
            </w14:solidFill>
          </w14:textFill>
        </w:rPr>
      </w:pPr>
    </w:p>
    <w:p w14:paraId="5DC76519">
      <w:pPr>
        <w:jc w:val="center"/>
        <w:rPr>
          <w:rFonts w:ascii="仿宋" w:hAnsi="仿宋" w:eastAsia="仿宋" w:cs="Times New Roman"/>
          <w:color w:val="000000" w:themeColor="text1"/>
          <w:highlight w:val="none"/>
          <w14:textFill>
            <w14:solidFill>
              <w14:schemeClr w14:val="tx1"/>
            </w14:solidFill>
          </w14:textFill>
        </w:rPr>
      </w:pPr>
    </w:p>
    <w:p w14:paraId="74C7FEC6">
      <w:pPr>
        <w:jc w:val="center"/>
        <w:rPr>
          <w:rFonts w:ascii="仿宋" w:hAnsi="仿宋" w:eastAsia="仿宋" w:cs="Times New Roman"/>
          <w:color w:val="000000" w:themeColor="text1"/>
          <w:highlight w:val="none"/>
          <w14:textFill>
            <w14:solidFill>
              <w14:schemeClr w14:val="tx1"/>
            </w14:solidFill>
          </w14:textFill>
        </w:rPr>
      </w:pPr>
    </w:p>
    <w:p w14:paraId="29107048">
      <w:pPr>
        <w:jc w:val="center"/>
        <w:rPr>
          <w:rFonts w:ascii="仿宋" w:hAnsi="仿宋" w:eastAsia="仿宋" w:cs="Times New Roman"/>
          <w:color w:val="000000" w:themeColor="text1"/>
          <w:highlight w:val="none"/>
          <w14:textFill>
            <w14:solidFill>
              <w14:schemeClr w14:val="tx1"/>
            </w14:solidFill>
          </w14:textFill>
        </w:rPr>
      </w:pPr>
    </w:p>
    <w:p w14:paraId="0C0A4BEC">
      <w:pPr>
        <w:jc w:val="center"/>
        <w:rPr>
          <w:rFonts w:ascii="仿宋" w:hAnsi="仿宋" w:eastAsia="仿宋" w:cs="Times New Roman"/>
          <w:color w:val="000000" w:themeColor="text1"/>
          <w:highlight w:val="none"/>
          <w14:textFill>
            <w14:solidFill>
              <w14:schemeClr w14:val="tx1"/>
            </w14:solidFill>
          </w14:textFill>
        </w:rPr>
      </w:pPr>
    </w:p>
    <w:p w14:paraId="79C67C59">
      <w:pPr>
        <w:jc w:val="center"/>
        <w:rPr>
          <w:rFonts w:ascii="仿宋" w:hAnsi="仿宋" w:eastAsia="仿宋" w:cs="Times New Roman"/>
          <w:color w:val="000000" w:themeColor="text1"/>
          <w:highlight w:val="none"/>
          <w14:textFill>
            <w14:solidFill>
              <w14:schemeClr w14:val="tx1"/>
            </w14:solidFill>
          </w14:textFill>
        </w:rPr>
      </w:pPr>
    </w:p>
    <w:p w14:paraId="4CC7E253">
      <w:pPr>
        <w:jc w:val="center"/>
        <w:rPr>
          <w:rFonts w:ascii="仿宋" w:hAnsi="仿宋" w:eastAsia="仿宋" w:cs="Times New Roman"/>
          <w:color w:val="000000" w:themeColor="text1"/>
          <w:highlight w:val="none"/>
          <w14:textFill>
            <w14:solidFill>
              <w14:schemeClr w14:val="tx1"/>
            </w14:solidFill>
          </w14:textFill>
        </w:rPr>
      </w:pPr>
    </w:p>
    <w:p w14:paraId="3F21DB35">
      <w:pPr>
        <w:jc w:val="center"/>
        <w:rPr>
          <w:rFonts w:ascii="仿宋" w:hAnsi="仿宋" w:eastAsia="仿宋" w:cs="Times New Roman"/>
          <w:color w:val="000000" w:themeColor="text1"/>
          <w:highlight w:val="none"/>
          <w14:textFill>
            <w14:solidFill>
              <w14:schemeClr w14:val="tx1"/>
            </w14:solidFill>
          </w14:textFill>
        </w:rPr>
      </w:pPr>
    </w:p>
    <w:p w14:paraId="404C7359">
      <w:pPr>
        <w:adjustRightInd w:val="0"/>
        <w:snapToGrid w:val="0"/>
        <w:spacing w:line="360" w:lineRule="auto"/>
        <w:jc w:val="center"/>
        <w:rPr>
          <w:rFonts w:ascii="仿宋" w:hAnsi="仿宋" w:eastAsia="仿宋" w:cs="Times New Roman"/>
          <w:color w:val="000000" w:themeColor="text1"/>
          <w:sz w:val="28"/>
          <w:szCs w:val="28"/>
          <w:highlight w:val="none"/>
          <w14:textFill>
            <w14:solidFill>
              <w14:schemeClr w14:val="tx1"/>
            </w14:solidFill>
          </w14:textFill>
        </w:rPr>
      </w:pPr>
    </w:p>
    <w:p w14:paraId="25E7B576">
      <w:pPr>
        <w:adjustRightInd w:val="0"/>
        <w:snapToGrid w:val="0"/>
        <w:spacing w:line="360" w:lineRule="auto"/>
        <w:jc w:val="center"/>
        <w:rPr>
          <w:rFonts w:ascii="仿宋" w:hAnsi="仿宋" w:eastAsia="仿宋" w:cs="Times New Roman"/>
          <w:color w:val="000000" w:themeColor="text1"/>
          <w:sz w:val="28"/>
          <w:szCs w:val="28"/>
          <w:highlight w:val="none"/>
          <w14:textFill>
            <w14:solidFill>
              <w14:schemeClr w14:val="tx1"/>
            </w14:solidFill>
          </w14:textFill>
        </w:rPr>
      </w:pPr>
    </w:p>
    <w:p w14:paraId="23E6EDFF">
      <w:pPr>
        <w:adjustRightInd w:val="0"/>
        <w:snapToGrid w:val="0"/>
        <w:spacing w:line="360" w:lineRule="auto"/>
        <w:jc w:val="center"/>
        <w:rPr>
          <w:rFonts w:ascii="仿宋" w:hAnsi="仿宋" w:eastAsia="仿宋" w:cs="Times New Roman"/>
          <w:color w:val="000000" w:themeColor="text1"/>
          <w:sz w:val="28"/>
          <w:szCs w:val="28"/>
          <w:highlight w:val="none"/>
          <w14:textFill>
            <w14:solidFill>
              <w14:schemeClr w14:val="tx1"/>
            </w14:solidFill>
          </w14:textFill>
        </w:rPr>
      </w:pPr>
    </w:p>
    <w:p w14:paraId="0FD07EBB">
      <w:pPr>
        <w:adjustRightInd w:val="0"/>
        <w:snapToGrid w:val="0"/>
        <w:spacing w:line="360" w:lineRule="auto"/>
        <w:jc w:val="center"/>
        <w:rPr>
          <w:rFonts w:ascii="仿宋" w:hAnsi="仿宋" w:eastAsia="仿宋" w:cs="Times New Roman"/>
          <w:color w:val="000000" w:themeColor="text1"/>
          <w:sz w:val="28"/>
          <w:szCs w:val="28"/>
          <w:highlight w:val="none"/>
          <w14:textFill>
            <w14:solidFill>
              <w14:schemeClr w14:val="tx1"/>
            </w14:solidFill>
          </w14:textFill>
        </w:rPr>
      </w:pPr>
    </w:p>
    <w:p w14:paraId="318BA876">
      <w:pPr>
        <w:adjustRightInd w:val="0"/>
        <w:snapToGrid w:val="0"/>
        <w:spacing w:line="360" w:lineRule="auto"/>
        <w:jc w:val="center"/>
        <w:rPr>
          <w:rFonts w:ascii="仿宋" w:hAnsi="仿宋" w:eastAsia="仿宋" w:cs="Times New Roman"/>
          <w:color w:val="000000" w:themeColor="text1"/>
          <w:sz w:val="28"/>
          <w:szCs w:val="28"/>
          <w:highlight w:val="none"/>
          <w14:textFill>
            <w14:solidFill>
              <w14:schemeClr w14:val="tx1"/>
            </w14:solidFill>
          </w14:textFill>
        </w:rPr>
      </w:pPr>
    </w:p>
    <w:p w14:paraId="764B2A9F">
      <w:pPr>
        <w:adjustRightInd w:val="0"/>
        <w:snapToGrid w:val="0"/>
        <w:spacing w:line="360" w:lineRule="auto"/>
        <w:rPr>
          <w:rFonts w:ascii="仿宋" w:hAnsi="仿宋" w:eastAsia="仿宋" w:cs="Times New Roman"/>
          <w:color w:val="000000" w:themeColor="text1"/>
          <w:sz w:val="28"/>
          <w:szCs w:val="28"/>
          <w:highlight w:val="none"/>
          <w14:textFill>
            <w14:solidFill>
              <w14:schemeClr w14:val="tx1"/>
            </w14:solidFill>
          </w14:textFill>
        </w:rPr>
      </w:pPr>
    </w:p>
    <w:p w14:paraId="489AD38E">
      <w:pPr>
        <w:adjustRightInd w:val="0"/>
        <w:snapToGrid w:val="0"/>
        <w:spacing w:line="360" w:lineRule="auto"/>
        <w:jc w:val="center"/>
        <w:outlineLvl w:val="0"/>
        <w:rPr>
          <w:rFonts w:hint="eastAsia" w:ascii="华文中宋" w:hAnsi="华文中宋" w:eastAsia="华文中宋" w:cs="华文中宋"/>
          <w:bCs/>
          <w:color w:val="000000" w:themeColor="text1"/>
          <w:sz w:val="36"/>
          <w:szCs w:val="36"/>
          <w:highlight w:val="none"/>
          <w:lang w:val="en-US" w:eastAsia="zh-CN"/>
          <w14:textFill>
            <w14:solidFill>
              <w14:schemeClr w14:val="tx1"/>
            </w14:solidFill>
          </w14:textFill>
        </w:rPr>
      </w:pPr>
      <w:bookmarkStart w:id="11" w:name="_Toc23782"/>
      <w:r>
        <w:rPr>
          <w:rFonts w:hint="eastAsia" w:ascii="华文中宋" w:hAnsi="华文中宋" w:eastAsia="华文中宋" w:cs="华文中宋"/>
          <w:bCs/>
          <w:color w:val="000000" w:themeColor="text1"/>
          <w:sz w:val="36"/>
          <w:szCs w:val="36"/>
          <w:highlight w:val="none"/>
          <w:lang w:eastAsia="zh-CN"/>
          <w14:textFill>
            <w14:solidFill>
              <w14:schemeClr w14:val="tx1"/>
            </w14:solidFill>
          </w14:textFill>
        </w:rPr>
        <w:t>中国移动江苏公司</w:t>
      </w:r>
      <w:bookmarkEnd w:id="11"/>
    </w:p>
    <w:p w14:paraId="3A580F61">
      <w:pPr>
        <w:adjustRightInd w:val="0"/>
        <w:snapToGrid w:val="0"/>
        <w:spacing w:line="240" w:lineRule="auto"/>
        <w:jc w:val="center"/>
        <w:rPr>
          <w:rFonts w:ascii="华文中宋" w:hAnsi="华文中宋" w:eastAsia="华文中宋" w:cs="华文中宋"/>
          <w:bCs/>
          <w:color w:val="000000" w:themeColor="text1"/>
          <w:sz w:val="36"/>
          <w:szCs w:val="36"/>
          <w:highlight w:val="none"/>
          <w14:textFill>
            <w14:solidFill>
              <w14:schemeClr w14:val="tx1"/>
            </w14:solidFill>
          </w14:textFill>
        </w:rPr>
      </w:pPr>
      <w:r>
        <w:rPr>
          <w:rFonts w:hint="eastAsia" w:ascii="华文中宋" w:hAnsi="华文中宋" w:eastAsia="华文中宋" w:cs="华文中宋"/>
          <w:bCs/>
          <w:color w:val="000000" w:themeColor="text1"/>
          <w:sz w:val="36"/>
          <w:szCs w:val="36"/>
          <w:highlight w:val="none"/>
          <w14:textFill>
            <w14:solidFill>
              <w14:schemeClr w14:val="tx1"/>
            </w14:solidFill>
          </w14:textFill>
        </w:rPr>
        <w:t>202</w:t>
      </w:r>
      <w:r>
        <w:rPr>
          <w:rFonts w:hint="eastAsia" w:ascii="华文中宋" w:hAnsi="华文中宋" w:eastAsia="华文中宋" w:cs="华文中宋"/>
          <w:bCs/>
          <w:color w:val="000000" w:themeColor="text1"/>
          <w:sz w:val="36"/>
          <w:szCs w:val="36"/>
          <w:highlight w:val="none"/>
          <w:lang w:val="en-US" w:eastAsia="zh-CN"/>
          <w14:textFill>
            <w14:solidFill>
              <w14:schemeClr w14:val="tx1"/>
            </w14:solidFill>
          </w14:textFill>
        </w:rPr>
        <w:t>5</w:t>
      </w:r>
      <w:r>
        <w:rPr>
          <w:rFonts w:hint="eastAsia" w:ascii="华文中宋" w:hAnsi="华文中宋" w:eastAsia="华文中宋" w:cs="华文中宋"/>
          <w:bCs/>
          <w:color w:val="000000" w:themeColor="text1"/>
          <w:sz w:val="36"/>
          <w:szCs w:val="36"/>
          <w:highlight w:val="none"/>
          <w14:textFill>
            <w14:solidFill>
              <w14:schemeClr w14:val="tx1"/>
            </w14:solidFill>
          </w14:textFill>
        </w:rPr>
        <w:t>年</w:t>
      </w:r>
      <w:r>
        <w:rPr>
          <w:rFonts w:hint="eastAsia" w:ascii="华文中宋" w:hAnsi="华文中宋" w:eastAsia="华文中宋" w:cs="华文中宋"/>
          <w:bCs/>
          <w:color w:val="000000" w:themeColor="text1"/>
          <w:sz w:val="36"/>
          <w:szCs w:val="36"/>
          <w:highlight w:val="none"/>
          <w:lang w:val="en-US" w:eastAsia="zh-CN"/>
          <w14:textFill>
            <w14:solidFill>
              <w14:schemeClr w14:val="tx1"/>
            </w14:solidFill>
          </w14:textFill>
        </w:rPr>
        <w:t>11</w:t>
      </w:r>
      <w:r>
        <w:rPr>
          <w:rFonts w:hint="eastAsia" w:ascii="华文中宋" w:hAnsi="华文中宋" w:eastAsia="华文中宋" w:cs="华文中宋"/>
          <w:bCs/>
          <w:color w:val="000000" w:themeColor="text1"/>
          <w:sz w:val="36"/>
          <w:szCs w:val="36"/>
          <w:highlight w:val="none"/>
          <w14:textFill>
            <w14:solidFill>
              <w14:schemeClr w14:val="tx1"/>
            </w14:solidFill>
          </w14:textFill>
        </w:rPr>
        <w:t>月</w:t>
      </w:r>
      <w:r>
        <w:rPr>
          <w:rFonts w:hint="eastAsia" w:ascii="华文中宋" w:hAnsi="华文中宋" w:eastAsia="华文中宋" w:cs="华文中宋"/>
          <w:bCs/>
          <w:color w:val="000000" w:themeColor="text1"/>
          <w:sz w:val="36"/>
          <w:szCs w:val="36"/>
          <w:highlight w:val="none"/>
          <w14:textFill>
            <w14:solidFill>
              <w14:schemeClr w14:val="tx1"/>
            </w14:solidFill>
          </w14:textFill>
        </w:rPr>
        <w:br w:type="page"/>
      </w:r>
    </w:p>
    <w:sdt>
      <w:sdtPr>
        <w:rPr>
          <w:rFonts w:hint="eastAsia" w:ascii="黑体" w:hAnsi="黑体" w:eastAsia="黑体" w:cs="黑体"/>
          <w:color w:val="000000" w:themeColor="text1"/>
          <w:kern w:val="2"/>
          <w:sz w:val="44"/>
          <w:szCs w:val="44"/>
          <w:highlight w:val="none"/>
          <w:lang w:val="en-US" w:eastAsia="zh-CN" w:bidi="ar-SA"/>
          <w14:textFill>
            <w14:solidFill>
              <w14:schemeClr w14:val="tx1"/>
            </w14:solidFill>
          </w14:textFill>
        </w:rPr>
        <w:id w:val="147470686"/>
        <w:docPartObj>
          <w:docPartGallery w:val="Table of Contents"/>
          <w:docPartUnique/>
        </w:docPartObj>
      </w:sdtPr>
      <w:sdtEndPr>
        <w:rPr>
          <w:rFonts w:hint="eastAsia" w:ascii="黑体" w:hAnsi="黑体" w:eastAsia="黑体" w:cs="黑体"/>
          <w:b/>
          <w:color w:val="000000" w:themeColor="text1"/>
          <w:kern w:val="2"/>
          <w:sz w:val="36"/>
          <w:szCs w:val="36"/>
          <w:highlight w:val="none"/>
          <w:lang w:val="en-US" w:eastAsia="zh-CN" w:bidi="ar-SA"/>
          <w14:textFill>
            <w14:solidFill>
              <w14:schemeClr w14:val="tx1"/>
            </w14:solidFill>
          </w14:textFill>
        </w:rPr>
      </w:sdtEndPr>
      <w:sdtContent>
        <w:p w14:paraId="404EEE16">
          <w:pPr>
            <w:widowControl w:val="0"/>
            <w:tabs>
              <w:tab w:val="right" w:leader="dot" w:pos="8306"/>
            </w:tabs>
            <w:adjustRightInd w:val="0"/>
            <w:snapToGrid w:val="0"/>
            <w:spacing w:line="360" w:lineRule="auto"/>
            <w:jc w:val="center"/>
            <w:rPr>
              <w:rFonts w:hint="eastAsia" w:ascii="仿宋_GB2312" w:hAnsi="仿宋_GB2312" w:eastAsia="仿宋_GB2312" w:cs="仿宋_GB2312"/>
              <w:color w:val="000000" w:themeColor="text1"/>
              <w:kern w:val="2"/>
              <w:sz w:val="40"/>
              <w:szCs w:val="40"/>
              <w:highlight w:val="none"/>
              <w:lang w:val="en-US" w:eastAsia="zh-CN" w:bidi="ar-SA"/>
              <w14:textFill>
                <w14:solidFill>
                  <w14:schemeClr w14:val="tx1"/>
                </w14:solidFill>
              </w14:textFill>
            </w:rPr>
          </w:pPr>
          <w:r>
            <w:rPr>
              <w:rFonts w:hint="eastAsia" w:ascii="黑体" w:hAnsi="黑体" w:eastAsia="黑体" w:cs="黑体"/>
              <w:color w:val="000000" w:themeColor="text1"/>
              <w:kern w:val="2"/>
              <w:sz w:val="44"/>
              <w:szCs w:val="44"/>
              <w:highlight w:val="none"/>
              <w:lang w:val="en-US" w:eastAsia="zh-CN" w:bidi="ar-SA"/>
              <w14:textFill>
                <w14:solidFill>
                  <w14:schemeClr w14:val="tx1"/>
                </w14:solidFill>
              </w14:textFill>
            </w:rPr>
            <w:t>目录</w:t>
          </w:r>
          <w:r>
            <w:rPr>
              <w:rFonts w:hint="eastAsia" w:ascii="仿宋_GB2312" w:hAnsi="仿宋_GB2312" w:eastAsia="仿宋_GB2312" w:cs="仿宋_GB2312"/>
              <w:color w:val="000000" w:themeColor="text1"/>
              <w:kern w:val="2"/>
              <w:sz w:val="40"/>
              <w:szCs w:val="40"/>
              <w:highlight w:val="none"/>
              <w:lang w:val="en-US" w:eastAsia="zh-CN" w:bidi="ar-SA"/>
              <w14:textFill>
                <w14:solidFill>
                  <w14:schemeClr w14:val="tx1"/>
                </w14:solidFill>
              </w14:textFill>
            </w:rPr>
            <w:fldChar w:fldCharType="begin"/>
          </w:r>
          <w:r>
            <w:rPr>
              <w:rFonts w:hint="eastAsia" w:ascii="仿宋_GB2312" w:hAnsi="仿宋_GB2312" w:eastAsia="仿宋_GB2312" w:cs="仿宋_GB2312"/>
              <w:color w:val="000000" w:themeColor="text1"/>
              <w:kern w:val="2"/>
              <w:sz w:val="40"/>
              <w:szCs w:val="40"/>
              <w:highlight w:val="none"/>
              <w:lang w:val="en-US" w:eastAsia="zh-CN" w:bidi="ar-SA"/>
              <w14:textFill>
                <w14:solidFill>
                  <w14:schemeClr w14:val="tx1"/>
                </w14:solidFill>
              </w14:textFill>
            </w:rPr>
            <w:instrText xml:space="preserve">TOC \o "1-2" \h \u </w:instrText>
          </w:r>
          <w:r>
            <w:rPr>
              <w:rFonts w:hint="eastAsia" w:ascii="仿宋_GB2312" w:hAnsi="仿宋_GB2312" w:eastAsia="仿宋_GB2312" w:cs="仿宋_GB2312"/>
              <w:color w:val="000000" w:themeColor="text1"/>
              <w:kern w:val="2"/>
              <w:sz w:val="40"/>
              <w:szCs w:val="40"/>
              <w:highlight w:val="none"/>
              <w:lang w:val="en-US" w:eastAsia="zh-CN" w:bidi="ar-SA"/>
              <w14:textFill>
                <w14:solidFill>
                  <w14:schemeClr w14:val="tx1"/>
                </w14:solidFill>
              </w14:textFill>
            </w:rPr>
            <w:fldChar w:fldCharType="separate"/>
          </w:r>
        </w:p>
        <w:p w14:paraId="0C2A5AC2">
          <w:pPr>
            <w:pStyle w:val="7"/>
            <w:tabs>
              <w:tab w:val="right" w:leader="dot" w:pos="8306"/>
            </w:tabs>
          </w:pPr>
        </w:p>
        <w:p w14:paraId="4581BA3A">
          <w:pPr>
            <w:pStyle w:val="7"/>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_Toc22147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黑体" w:hAnsi="黑体" w:eastAsia="黑体" w:cs="黑体"/>
              <w:bCs/>
              <w:kern w:val="44"/>
              <w:sz w:val="24"/>
              <w:szCs w:val="44"/>
              <w:lang w:val="en-US"/>
            </w:rPr>
            <w:t xml:space="preserve">第一章 </w:t>
          </w:r>
          <w:r>
            <w:rPr>
              <w:rFonts w:hint="eastAsia" w:ascii="黑体" w:hAnsi="黑体" w:eastAsia="黑体" w:cs="Times New Roman"/>
              <w:bCs/>
              <w:kern w:val="44"/>
              <w:sz w:val="24"/>
              <w:szCs w:val="44"/>
              <w:highlight w:val="none"/>
            </w:rPr>
            <w:t>总则</w:t>
          </w:r>
          <w:r>
            <w:rPr>
              <w:sz w:val="24"/>
              <w:szCs w:val="28"/>
            </w:rPr>
            <w:tab/>
          </w:r>
          <w:r>
            <w:rPr>
              <w:sz w:val="24"/>
              <w:szCs w:val="28"/>
            </w:rPr>
            <w:fldChar w:fldCharType="begin"/>
          </w:r>
          <w:r>
            <w:rPr>
              <w:sz w:val="24"/>
              <w:szCs w:val="28"/>
            </w:rPr>
            <w:instrText xml:space="preserve"> PAGEREF _Toc22147 \h </w:instrText>
          </w:r>
          <w:r>
            <w:rPr>
              <w:sz w:val="24"/>
              <w:szCs w:val="28"/>
            </w:rPr>
            <w:fldChar w:fldCharType="separate"/>
          </w:r>
          <w:r>
            <w:rPr>
              <w:sz w:val="24"/>
              <w:szCs w:val="28"/>
            </w:rPr>
            <w:t>3</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0CFBD7FB">
          <w:pPr>
            <w:pStyle w:val="7"/>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_Toc3088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黑体" w:hAnsi="黑体" w:eastAsia="黑体" w:cs="黑体"/>
              <w:bCs/>
              <w:kern w:val="44"/>
              <w:sz w:val="24"/>
              <w:szCs w:val="44"/>
              <w:lang w:val="en-US"/>
            </w:rPr>
            <w:t xml:space="preserve">第二章 </w:t>
          </w:r>
          <w:r>
            <w:rPr>
              <w:rFonts w:hint="eastAsia" w:ascii="黑体" w:hAnsi="黑体" w:eastAsia="黑体" w:cs="Times New Roman"/>
              <w:bCs/>
              <w:kern w:val="44"/>
              <w:sz w:val="24"/>
              <w:szCs w:val="44"/>
              <w:highlight w:val="none"/>
            </w:rPr>
            <w:t>组织机构及职责</w:t>
          </w:r>
          <w:r>
            <w:rPr>
              <w:sz w:val="24"/>
              <w:szCs w:val="28"/>
            </w:rPr>
            <w:tab/>
          </w:r>
          <w:r>
            <w:rPr>
              <w:sz w:val="24"/>
              <w:szCs w:val="28"/>
            </w:rPr>
            <w:fldChar w:fldCharType="begin"/>
          </w:r>
          <w:r>
            <w:rPr>
              <w:sz w:val="24"/>
              <w:szCs w:val="28"/>
            </w:rPr>
            <w:instrText xml:space="preserve"> PAGEREF _Toc3088 \h </w:instrText>
          </w:r>
          <w:r>
            <w:rPr>
              <w:sz w:val="24"/>
              <w:szCs w:val="28"/>
            </w:rPr>
            <w:fldChar w:fldCharType="separate"/>
          </w:r>
          <w:r>
            <w:rPr>
              <w:sz w:val="24"/>
              <w:szCs w:val="28"/>
            </w:rPr>
            <w:t>4</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4F83D7B5">
          <w:pPr>
            <w:pStyle w:val="7"/>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_Toc19885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黑体" w:hAnsi="黑体" w:eastAsia="黑体" w:cs="黑体"/>
              <w:bCs/>
              <w:kern w:val="44"/>
              <w:sz w:val="24"/>
              <w:szCs w:val="44"/>
              <w:lang w:val="en-US"/>
            </w:rPr>
            <w:t xml:space="preserve">第三章 </w:t>
          </w:r>
          <w:r>
            <w:rPr>
              <w:rFonts w:hint="eastAsia" w:ascii="黑体" w:hAnsi="黑体" w:eastAsia="黑体" w:cs="Times New Roman"/>
              <w:bCs/>
              <w:kern w:val="44"/>
              <w:sz w:val="24"/>
              <w:szCs w:val="44"/>
              <w:highlight w:val="none"/>
              <w:lang w:val="en-US" w:eastAsia="zh-CN"/>
            </w:rPr>
            <w:t>成本使用</w:t>
          </w:r>
          <w:r>
            <w:rPr>
              <w:rFonts w:hint="eastAsia" w:ascii="黑体" w:hAnsi="黑体" w:eastAsia="黑体" w:cs="Times New Roman"/>
              <w:bCs/>
              <w:kern w:val="44"/>
              <w:sz w:val="24"/>
              <w:szCs w:val="44"/>
              <w:highlight w:val="none"/>
            </w:rPr>
            <w:t>需求</w:t>
          </w:r>
          <w:r>
            <w:rPr>
              <w:rFonts w:hint="eastAsia" w:ascii="黑体" w:hAnsi="黑体" w:eastAsia="黑体" w:cs="Times New Roman"/>
              <w:bCs/>
              <w:kern w:val="44"/>
              <w:sz w:val="24"/>
              <w:szCs w:val="44"/>
              <w:highlight w:val="none"/>
              <w:lang w:val="en-US" w:eastAsia="zh-CN"/>
            </w:rPr>
            <w:t>及合同</w:t>
          </w:r>
          <w:r>
            <w:rPr>
              <w:rFonts w:hint="eastAsia" w:ascii="黑体" w:hAnsi="黑体" w:eastAsia="黑体" w:cs="Times New Roman"/>
              <w:bCs/>
              <w:kern w:val="44"/>
              <w:sz w:val="24"/>
              <w:szCs w:val="44"/>
              <w:highlight w:val="none"/>
            </w:rPr>
            <w:t>管理</w:t>
          </w:r>
          <w:r>
            <w:rPr>
              <w:sz w:val="24"/>
              <w:szCs w:val="28"/>
            </w:rPr>
            <w:tab/>
          </w:r>
          <w:r>
            <w:rPr>
              <w:sz w:val="24"/>
              <w:szCs w:val="28"/>
            </w:rPr>
            <w:fldChar w:fldCharType="begin"/>
          </w:r>
          <w:r>
            <w:rPr>
              <w:sz w:val="24"/>
              <w:szCs w:val="28"/>
            </w:rPr>
            <w:instrText xml:space="preserve"> PAGEREF _Toc19885 \h </w:instrText>
          </w:r>
          <w:r>
            <w:rPr>
              <w:sz w:val="24"/>
              <w:szCs w:val="28"/>
            </w:rPr>
            <w:fldChar w:fldCharType="separate"/>
          </w:r>
          <w:r>
            <w:rPr>
              <w:sz w:val="24"/>
              <w:szCs w:val="28"/>
            </w:rPr>
            <w:t>8</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455B8FAF">
          <w:pPr>
            <w:pStyle w:val="7"/>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_Toc17848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黑体" w:hAnsi="黑体" w:eastAsia="黑体" w:cs="黑体"/>
              <w:bCs/>
              <w:kern w:val="44"/>
              <w:sz w:val="24"/>
              <w:szCs w:val="44"/>
              <w:lang w:val="en-US"/>
            </w:rPr>
            <w:t xml:space="preserve">第四章 </w:t>
          </w:r>
          <w:r>
            <w:rPr>
              <w:rFonts w:hint="eastAsia" w:ascii="黑体" w:hAnsi="黑体" w:eastAsia="黑体" w:cs="Times New Roman"/>
              <w:bCs/>
              <w:kern w:val="44"/>
              <w:sz w:val="24"/>
              <w:szCs w:val="44"/>
              <w:highlight w:val="none"/>
            </w:rPr>
            <w:t>网络成本生命周期管理</w:t>
          </w:r>
          <w:r>
            <w:rPr>
              <w:sz w:val="24"/>
              <w:szCs w:val="28"/>
            </w:rPr>
            <w:tab/>
          </w:r>
          <w:r>
            <w:rPr>
              <w:sz w:val="24"/>
              <w:szCs w:val="28"/>
            </w:rPr>
            <w:fldChar w:fldCharType="begin"/>
          </w:r>
          <w:r>
            <w:rPr>
              <w:sz w:val="24"/>
              <w:szCs w:val="28"/>
            </w:rPr>
            <w:instrText xml:space="preserve"> PAGEREF _Toc17848 \h </w:instrText>
          </w:r>
          <w:r>
            <w:rPr>
              <w:sz w:val="24"/>
              <w:szCs w:val="28"/>
            </w:rPr>
            <w:fldChar w:fldCharType="separate"/>
          </w:r>
          <w:r>
            <w:rPr>
              <w:sz w:val="24"/>
              <w:szCs w:val="28"/>
            </w:rPr>
            <w:t>10</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4CB21C3A">
          <w:pPr>
            <w:pStyle w:val="8"/>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_Toc15333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楷体" w:hAnsi="楷体" w:eastAsia="楷体" w:cs="楷体"/>
              <w:bCs w:val="0"/>
              <w:sz w:val="24"/>
              <w:szCs w:val="40"/>
              <w:highlight w:val="none"/>
            </w:rPr>
            <w:t>第一节  预算管理</w:t>
          </w:r>
          <w:r>
            <w:rPr>
              <w:sz w:val="24"/>
              <w:szCs w:val="28"/>
            </w:rPr>
            <w:tab/>
          </w:r>
          <w:r>
            <w:rPr>
              <w:sz w:val="24"/>
              <w:szCs w:val="28"/>
            </w:rPr>
            <w:fldChar w:fldCharType="begin"/>
          </w:r>
          <w:r>
            <w:rPr>
              <w:sz w:val="24"/>
              <w:szCs w:val="28"/>
            </w:rPr>
            <w:instrText xml:space="preserve"> PAGEREF _Toc15333 \h </w:instrText>
          </w:r>
          <w:r>
            <w:rPr>
              <w:sz w:val="24"/>
              <w:szCs w:val="28"/>
            </w:rPr>
            <w:fldChar w:fldCharType="separate"/>
          </w:r>
          <w:r>
            <w:rPr>
              <w:sz w:val="24"/>
              <w:szCs w:val="28"/>
            </w:rPr>
            <w:t>10</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2930B912">
          <w:pPr>
            <w:pStyle w:val="8"/>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_Toc16291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楷体" w:hAnsi="楷体" w:eastAsia="楷体" w:cs="楷体"/>
              <w:bCs w:val="0"/>
              <w:sz w:val="24"/>
              <w:szCs w:val="40"/>
              <w:highlight w:val="none"/>
            </w:rPr>
            <w:t>第二节  执行管理</w:t>
          </w:r>
          <w:r>
            <w:rPr>
              <w:sz w:val="24"/>
              <w:szCs w:val="28"/>
            </w:rPr>
            <w:tab/>
          </w:r>
          <w:r>
            <w:rPr>
              <w:sz w:val="24"/>
              <w:szCs w:val="28"/>
            </w:rPr>
            <w:fldChar w:fldCharType="begin"/>
          </w:r>
          <w:r>
            <w:rPr>
              <w:sz w:val="24"/>
              <w:szCs w:val="28"/>
            </w:rPr>
            <w:instrText xml:space="preserve"> PAGEREF _Toc16291 \h </w:instrText>
          </w:r>
          <w:r>
            <w:rPr>
              <w:sz w:val="24"/>
              <w:szCs w:val="28"/>
            </w:rPr>
            <w:fldChar w:fldCharType="separate"/>
          </w:r>
          <w:r>
            <w:rPr>
              <w:sz w:val="24"/>
              <w:szCs w:val="28"/>
            </w:rPr>
            <w:t>11</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5F47FB6E">
          <w:pPr>
            <w:pStyle w:val="8"/>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_Toc15883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楷体" w:hAnsi="楷体" w:eastAsia="楷体" w:cs="楷体"/>
              <w:bCs w:val="0"/>
              <w:sz w:val="24"/>
              <w:szCs w:val="40"/>
              <w:highlight w:val="none"/>
            </w:rPr>
            <w:t>第三节  后评估管理</w:t>
          </w:r>
          <w:r>
            <w:rPr>
              <w:sz w:val="24"/>
              <w:szCs w:val="28"/>
            </w:rPr>
            <w:tab/>
          </w:r>
          <w:r>
            <w:rPr>
              <w:sz w:val="24"/>
              <w:szCs w:val="28"/>
            </w:rPr>
            <w:fldChar w:fldCharType="begin"/>
          </w:r>
          <w:r>
            <w:rPr>
              <w:sz w:val="24"/>
              <w:szCs w:val="28"/>
            </w:rPr>
            <w:instrText xml:space="preserve"> PAGEREF _Toc15883 \h </w:instrText>
          </w:r>
          <w:r>
            <w:rPr>
              <w:sz w:val="24"/>
              <w:szCs w:val="28"/>
            </w:rPr>
            <w:fldChar w:fldCharType="separate"/>
          </w:r>
          <w:r>
            <w:rPr>
              <w:sz w:val="24"/>
              <w:szCs w:val="28"/>
            </w:rPr>
            <w:t>12</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141DA8D7">
          <w:pPr>
            <w:pStyle w:val="8"/>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_Toc12442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楷体" w:hAnsi="楷体" w:eastAsia="楷体" w:cs="楷体"/>
              <w:bCs w:val="0"/>
              <w:sz w:val="24"/>
              <w:szCs w:val="40"/>
              <w:highlight w:val="none"/>
            </w:rPr>
            <w:t>第四节  成本指标管理与对标分析</w:t>
          </w:r>
          <w:r>
            <w:rPr>
              <w:sz w:val="24"/>
              <w:szCs w:val="28"/>
            </w:rPr>
            <w:tab/>
          </w:r>
          <w:r>
            <w:rPr>
              <w:sz w:val="24"/>
              <w:szCs w:val="28"/>
            </w:rPr>
            <w:fldChar w:fldCharType="begin"/>
          </w:r>
          <w:r>
            <w:rPr>
              <w:sz w:val="24"/>
              <w:szCs w:val="28"/>
            </w:rPr>
            <w:instrText xml:space="preserve"> PAGEREF _Toc12442 \h </w:instrText>
          </w:r>
          <w:r>
            <w:rPr>
              <w:sz w:val="24"/>
              <w:szCs w:val="28"/>
            </w:rPr>
            <w:fldChar w:fldCharType="separate"/>
          </w:r>
          <w:r>
            <w:rPr>
              <w:sz w:val="24"/>
              <w:szCs w:val="28"/>
            </w:rPr>
            <w:t>12</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6D96A516">
          <w:pPr>
            <w:pStyle w:val="7"/>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_Toc12166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黑体" w:hAnsi="黑体" w:eastAsia="黑体" w:cs="黑体"/>
              <w:bCs/>
              <w:kern w:val="44"/>
              <w:sz w:val="24"/>
              <w:szCs w:val="44"/>
              <w:lang w:val="en-US"/>
            </w:rPr>
            <w:t xml:space="preserve">第五章 </w:t>
          </w:r>
          <w:r>
            <w:rPr>
              <w:rFonts w:hint="eastAsia" w:ascii="黑体" w:hAnsi="黑体" w:eastAsia="黑体" w:cs="Times New Roman"/>
              <w:bCs/>
              <w:kern w:val="44"/>
              <w:sz w:val="24"/>
              <w:szCs w:val="44"/>
              <w:highlight w:val="none"/>
            </w:rPr>
            <w:t>费用稽核与风险防控管理</w:t>
          </w:r>
          <w:r>
            <w:rPr>
              <w:sz w:val="24"/>
              <w:szCs w:val="28"/>
            </w:rPr>
            <w:tab/>
          </w:r>
          <w:r>
            <w:rPr>
              <w:sz w:val="24"/>
              <w:szCs w:val="28"/>
            </w:rPr>
            <w:fldChar w:fldCharType="begin"/>
          </w:r>
          <w:r>
            <w:rPr>
              <w:sz w:val="24"/>
              <w:szCs w:val="28"/>
            </w:rPr>
            <w:instrText xml:space="preserve"> PAGEREF _Toc12166 \h </w:instrText>
          </w:r>
          <w:r>
            <w:rPr>
              <w:sz w:val="24"/>
              <w:szCs w:val="28"/>
            </w:rPr>
            <w:fldChar w:fldCharType="separate"/>
          </w:r>
          <w:r>
            <w:rPr>
              <w:sz w:val="24"/>
              <w:szCs w:val="28"/>
            </w:rPr>
            <w:t>13</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038241B9">
          <w:pPr>
            <w:pStyle w:val="7"/>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_Toc3875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黑体" w:hAnsi="黑体" w:eastAsia="黑体" w:cs="黑体"/>
              <w:bCs/>
              <w:kern w:val="44"/>
              <w:sz w:val="24"/>
              <w:szCs w:val="44"/>
              <w:lang w:val="en-US"/>
            </w:rPr>
            <w:t xml:space="preserve">第六章 </w:t>
          </w:r>
          <w:r>
            <w:rPr>
              <w:rFonts w:hint="eastAsia" w:ascii="黑体" w:hAnsi="黑体" w:eastAsia="黑体" w:cs="Times New Roman"/>
              <w:bCs/>
              <w:kern w:val="44"/>
              <w:sz w:val="24"/>
              <w:szCs w:val="44"/>
              <w:highlight w:val="none"/>
            </w:rPr>
            <w:t>系统与基础信息管理</w:t>
          </w:r>
          <w:r>
            <w:rPr>
              <w:sz w:val="24"/>
              <w:szCs w:val="28"/>
            </w:rPr>
            <w:tab/>
          </w:r>
          <w:r>
            <w:rPr>
              <w:sz w:val="24"/>
              <w:szCs w:val="28"/>
            </w:rPr>
            <w:fldChar w:fldCharType="begin"/>
          </w:r>
          <w:r>
            <w:rPr>
              <w:sz w:val="24"/>
              <w:szCs w:val="28"/>
            </w:rPr>
            <w:instrText xml:space="preserve"> PAGEREF _Toc3875 \h </w:instrText>
          </w:r>
          <w:r>
            <w:rPr>
              <w:sz w:val="24"/>
              <w:szCs w:val="28"/>
            </w:rPr>
            <w:fldChar w:fldCharType="separate"/>
          </w:r>
          <w:r>
            <w:rPr>
              <w:sz w:val="24"/>
              <w:szCs w:val="28"/>
            </w:rPr>
            <w:t>15</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120FEDF8">
          <w:pPr>
            <w:pStyle w:val="7"/>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_Toc31385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黑体" w:hAnsi="黑体" w:eastAsia="黑体" w:cs="黑体"/>
              <w:bCs/>
              <w:kern w:val="44"/>
              <w:sz w:val="24"/>
              <w:szCs w:val="44"/>
              <w:lang w:val="en-US"/>
            </w:rPr>
            <w:t xml:space="preserve">第七章 </w:t>
          </w:r>
          <w:r>
            <w:rPr>
              <w:rFonts w:hint="eastAsia" w:ascii="黑体" w:hAnsi="黑体" w:eastAsia="黑体" w:cs="Times New Roman"/>
              <w:bCs/>
              <w:kern w:val="44"/>
              <w:sz w:val="24"/>
              <w:szCs w:val="44"/>
              <w:highlight w:val="none"/>
            </w:rPr>
            <w:t>成本专项管理</w:t>
          </w:r>
          <w:r>
            <w:rPr>
              <w:sz w:val="24"/>
              <w:szCs w:val="28"/>
            </w:rPr>
            <w:tab/>
          </w:r>
          <w:r>
            <w:rPr>
              <w:sz w:val="24"/>
              <w:szCs w:val="28"/>
            </w:rPr>
            <w:fldChar w:fldCharType="begin"/>
          </w:r>
          <w:r>
            <w:rPr>
              <w:sz w:val="24"/>
              <w:szCs w:val="28"/>
            </w:rPr>
            <w:instrText xml:space="preserve"> PAGEREF _Toc31385 \h </w:instrText>
          </w:r>
          <w:r>
            <w:rPr>
              <w:sz w:val="24"/>
              <w:szCs w:val="28"/>
            </w:rPr>
            <w:fldChar w:fldCharType="separate"/>
          </w:r>
          <w:r>
            <w:rPr>
              <w:sz w:val="24"/>
              <w:szCs w:val="28"/>
            </w:rPr>
            <w:t>17</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7247973C">
          <w:pPr>
            <w:pStyle w:val="8"/>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_Toc31490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楷体" w:hAnsi="楷体" w:eastAsia="楷体" w:cs="楷体"/>
              <w:bCs w:val="0"/>
              <w:sz w:val="24"/>
              <w:szCs w:val="40"/>
              <w:highlight w:val="none"/>
            </w:rPr>
            <w:t>第一节  网络电费专项管理</w:t>
          </w:r>
          <w:r>
            <w:rPr>
              <w:sz w:val="24"/>
              <w:szCs w:val="28"/>
            </w:rPr>
            <w:tab/>
          </w:r>
          <w:r>
            <w:rPr>
              <w:sz w:val="24"/>
              <w:szCs w:val="28"/>
            </w:rPr>
            <w:fldChar w:fldCharType="begin"/>
          </w:r>
          <w:r>
            <w:rPr>
              <w:sz w:val="24"/>
              <w:szCs w:val="28"/>
            </w:rPr>
            <w:instrText xml:space="preserve"> PAGEREF _Toc31490 \h </w:instrText>
          </w:r>
          <w:r>
            <w:rPr>
              <w:sz w:val="24"/>
              <w:szCs w:val="28"/>
            </w:rPr>
            <w:fldChar w:fldCharType="separate"/>
          </w:r>
          <w:r>
            <w:rPr>
              <w:sz w:val="24"/>
              <w:szCs w:val="28"/>
            </w:rPr>
            <w:t>17</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4BF50FD3">
          <w:pPr>
            <w:pStyle w:val="8"/>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_Toc19546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楷体" w:hAnsi="楷体" w:eastAsia="楷体" w:cs="楷体"/>
              <w:bCs w:val="0"/>
              <w:sz w:val="24"/>
              <w:szCs w:val="40"/>
              <w:highlight w:val="none"/>
            </w:rPr>
            <w:t>第二节  站点租赁费专项管理</w:t>
          </w:r>
          <w:r>
            <w:rPr>
              <w:sz w:val="24"/>
              <w:szCs w:val="28"/>
            </w:rPr>
            <w:tab/>
          </w:r>
          <w:r>
            <w:rPr>
              <w:sz w:val="24"/>
              <w:szCs w:val="28"/>
            </w:rPr>
            <w:fldChar w:fldCharType="begin"/>
          </w:r>
          <w:r>
            <w:rPr>
              <w:sz w:val="24"/>
              <w:szCs w:val="28"/>
            </w:rPr>
            <w:instrText xml:space="preserve"> PAGEREF _Toc19546 \h </w:instrText>
          </w:r>
          <w:r>
            <w:rPr>
              <w:sz w:val="24"/>
              <w:szCs w:val="28"/>
            </w:rPr>
            <w:fldChar w:fldCharType="separate"/>
          </w:r>
          <w:r>
            <w:rPr>
              <w:sz w:val="24"/>
              <w:szCs w:val="28"/>
            </w:rPr>
            <w:t>24</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4E02F768">
          <w:pPr>
            <w:pStyle w:val="8"/>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_Toc20427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楷体" w:hAnsi="楷体" w:eastAsia="楷体" w:cs="楷体"/>
              <w:bCs w:val="0"/>
              <w:sz w:val="24"/>
              <w:szCs w:val="40"/>
              <w:highlight w:val="none"/>
            </w:rPr>
            <w:t>第三节  铁塔服务费专项管理</w:t>
          </w:r>
          <w:r>
            <w:rPr>
              <w:sz w:val="24"/>
              <w:szCs w:val="28"/>
            </w:rPr>
            <w:tab/>
          </w:r>
          <w:r>
            <w:rPr>
              <w:sz w:val="24"/>
              <w:szCs w:val="28"/>
            </w:rPr>
            <w:fldChar w:fldCharType="begin"/>
          </w:r>
          <w:r>
            <w:rPr>
              <w:sz w:val="24"/>
              <w:szCs w:val="28"/>
            </w:rPr>
            <w:instrText xml:space="preserve"> PAGEREF _Toc20427 \h </w:instrText>
          </w:r>
          <w:r>
            <w:rPr>
              <w:sz w:val="24"/>
              <w:szCs w:val="28"/>
            </w:rPr>
            <w:fldChar w:fldCharType="separate"/>
          </w:r>
          <w:r>
            <w:rPr>
              <w:sz w:val="24"/>
              <w:szCs w:val="28"/>
            </w:rPr>
            <w:t>26</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7D5A4688">
          <w:pPr>
            <w:pStyle w:val="8"/>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_Toc20860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楷体" w:hAnsi="楷体" w:eastAsia="楷体" w:cs="楷体"/>
              <w:bCs w:val="0"/>
              <w:sz w:val="24"/>
              <w:szCs w:val="40"/>
              <w:highlight w:val="none"/>
            </w:rPr>
            <w:t>第四节  网络维修费专项管理</w:t>
          </w:r>
          <w:r>
            <w:rPr>
              <w:sz w:val="24"/>
              <w:szCs w:val="28"/>
            </w:rPr>
            <w:tab/>
          </w:r>
          <w:r>
            <w:rPr>
              <w:sz w:val="24"/>
              <w:szCs w:val="28"/>
            </w:rPr>
            <w:fldChar w:fldCharType="begin"/>
          </w:r>
          <w:r>
            <w:rPr>
              <w:sz w:val="24"/>
              <w:szCs w:val="28"/>
            </w:rPr>
            <w:instrText xml:space="preserve"> PAGEREF _Toc20860 \h </w:instrText>
          </w:r>
          <w:r>
            <w:rPr>
              <w:sz w:val="24"/>
              <w:szCs w:val="28"/>
            </w:rPr>
            <w:fldChar w:fldCharType="separate"/>
          </w:r>
          <w:r>
            <w:rPr>
              <w:sz w:val="24"/>
              <w:szCs w:val="28"/>
            </w:rPr>
            <w:t>29</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476DA465">
          <w:pPr>
            <w:pStyle w:val="8"/>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_Toc4369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楷体" w:hAnsi="楷体" w:eastAsia="楷体" w:cs="楷体"/>
              <w:bCs w:val="0"/>
              <w:sz w:val="24"/>
              <w:szCs w:val="40"/>
              <w:highlight w:val="none"/>
            </w:rPr>
            <w:t>第五节  家客、集客装移机工料费专项管理</w:t>
          </w:r>
          <w:r>
            <w:rPr>
              <w:sz w:val="24"/>
              <w:szCs w:val="28"/>
            </w:rPr>
            <w:tab/>
          </w:r>
          <w:r>
            <w:rPr>
              <w:sz w:val="24"/>
              <w:szCs w:val="28"/>
            </w:rPr>
            <w:fldChar w:fldCharType="begin"/>
          </w:r>
          <w:r>
            <w:rPr>
              <w:sz w:val="24"/>
              <w:szCs w:val="28"/>
            </w:rPr>
            <w:instrText xml:space="preserve"> PAGEREF _Toc4369 \h </w:instrText>
          </w:r>
          <w:r>
            <w:rPr>
              <w:sz w:val="24"/>
              <w:szCs w:val="28"/>
            </w:rPr>
            <w:fldChar w:fldCharType="separate"/>
          </w:r>
          <w:r>
            <w:rPr>
              <w:sz w:val="24"/>
              <w:szCs w:val="28"/>
            </w:rPr>
            <w:t>31</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7597BD55">
          <w:pPr>
            <w:pStyle w:val="8"/>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_Toc2632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楷体" w:hAnsi="楷体" w:eastAsia="楷体" w:cs="楷体"/>
              <w:bCs w:val="0"/>
              <w:sz w:val="24"/>
              <w:szCs w:val="40"/>
              <w:highlight w:val="none"/>
            </w:rPr>
            <w:t>第六节  外部网络资源租赁费专项管理</w:t>
          </w:r>
          <w:r>
            <w:rPr>
              <w:sz w:val="24"/>
              <w:szCs w:val="28"/>
            </w:rPr>
            <w:tab/>
          </w:r>
          <w:r>
            <w:rPr>
              <w:sz w:val="24"/>
              <w:szCs w:val="28"/>
            </w:rPr>
            <w:fldChar w:fldCharType="begin"/>
          </w:r>
          <w:r>
            <w:rPr>
              <w:sz w:val="24"/>
              <w:szCs w:val="28"/>
            </w:rPr>
            <w:instrText xml:space="preserve"> PAGEREF _Toc2632 \h </w:instrText>
          </w:r>
          <w:r>
            <w:rPr>
              <w:sz w:val="24"/>
              <w:szCs w:val="28"/>
            </w:rPr>
            <w:fldChar w:fldCharType="separate"/>
          </w:r>
          <w:r>
            <w:rPr>
              <w:sz w:val="24"/>
              <w:szCs w:val="28"/>
            </w:rPr>
            <w:t>32</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65F1B505">
          <w:pPr>
            <w:pStyle w:val="7"/>
            <w:tabs>
              <w:tab w:val="right" w:leader="dot" w:pos="8306"/>
            </w:tabs>
            <w:spacing w:line="360" w:lineRule="auto"/>
            <w:rPr>
              <w:sz w:val="24"/>
              <w:szCs w:val="28"/>
            </w:rPr>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_Toc9458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黑体" w:hAnsi="黑体" w:eastAsia="黑体" w:cs="黑体"/>
              <w:bCs/>
              <w:kern w:val="44"/>
              <w:sz w:val="24"/>
              <w:szCs w:val="44"/>
              <w:lang w:val="en-US"/>
            </w:rPr>
            <w:t xml:space="preserve">第八章 </w:t>
          </w:r>
          <w:r>
            <w:rPr>
              <w:rFonts w:hint="eastAsia" w:ascii="黑体" w:hAnsi="黑体" w:eastAsia="黑体" w:cs="Times New Roman"/>
              <w:bCs/>
              <w:kern w:val="44"/>
              <w:sz w:val="24"/>
              <w:szCs w:val="44"/>
              <w:highlight w:val="none"/>
              <w:lang w:val="en-US" w:eastAsia="zh-CN"/>
            </w:rPr>
            <w:t>监督与追责</w:t>
          </w:r>
          <w:r>
            <w:rPr>
              <w:sz w:val="24"/>
              <w:szCs w:val="28"/>
            </w:rPr>
            <w:tab/>
          </w:r>
          <w:r>
            <w:rPr>
              <w:sz w:val="24"/>
              <w:szCs w:val="28"/>
            </w:rPr>
            <w:fldChar w:fldCharType="begin"/>
          </w:r>
          <w:r>
            <w:rPr>
              <w:sz w:val="24"/>
              <w:szCs w:val="28"/>
            </w:rPr>
            <w:instrText xml:space="preserve"> PAGEREF _Toc9458 \h </w:instrText>
          </w:r>
          <w:r>
            <w:rPr>
              <w:sz w:val="24"/>
              <w:szCs w:val="28"/>
            </w:rPr>
            <w:fldChar w:fldCharType="separate"/>
          </w:r>
          <w:r>
            <w:rPr>
              <w:sz w:val="24"/>
              <w:szCs w:val="28"/>
            </w:rPr>
            <w:t>32</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1CA8247D">
          <w:pPr>
            <w:pStyle w:val="7"/>
            <w:tabs>
              <w:tab w:val="right" w:leader="dot" w:pos="8306"/>
            </w:tabs>
            <w:spacing w:line="360" w:lineRule="auto"/>
          </w:pP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begin"/>
          </w:r>
          <w:r>
            <w:rPr>
              <w:rFonts w:hint="eastAsia" w:ascii="仿宋_GB2312" w:hAnsi="仿宋_GB2312" w:eastAsia="仿宋_GB2312" w:cs="仿宋_GB2312"/>
              <w:kern w:val="2"/>
              <w:sz w:val="24"/>
              <w:szCs w:val="48"/>
              <w:highlight w:val="none"/>
              <w:lang w:val="en-US" w:eastAsia="zh-CN" w:bidi="ar-SA"/>
            </w:rPr>
            <w:instrText xml:space="preserve"> HYPERLINK \l _Toc30583 </w:instrText>
          </w:r>
          <w:r>
            <w:rPr>
              <w:rFonts w:hint="eastAsia" w:ascii="仿宋_GB2312" w:hAnsi="仿宋_GB2312" w:eastAsia="仿宋_GB2312" w:cs="仿宋_GB2312"/>
              <w:kern w:val="2"/>
              <w:sz w:val="24"/>
              <w:szCs w:val="48"/>
              <w:highlight w:val="none"/>
              <w:lang w:val="en-US" w:eastAsia="zh-CN" w:bidi="ar-SA"/>
            </w:rPr>
            <w:fldChar w:fldCharType="separate"/>
          </w:r>
          <w:r>
            <w:rPr>
              <w:rFonts w:hint="eastAsia" w:ascii="黑体" w:hAnsi="黑体" w:eastAsia="黑体" w:cs="黑体"/>
              <w:bCs/>
              <w:kern w:val="44"/>
              <w:sz w:val="24"/>
              <w:szCs w:val="44"/>
              <w:lang w:val="en-US"/>
            </w:rPr>
            <w:t xml:space="preserve">第九章 </w:t>
          </w:r>
          <w:r>
            <w:rPr>
              <w:rFonts w:hint="eastAsia" w:ascii="黑体" w:hAnsi="黑体" w:eastAsia="黑体" w:cs="Times New Roman"/>
              <w:bCs/>
              <w:kern w:val="44"/>
              <w:sz w:val="24"/>
              <w:szCs w:val="44"/>
              <w:highlight w:val="none"/>
            </w:rPr>
            <w:t>附则</w:t>
          </w:r>
          <w:r>
            <w:rPr>
              <w:sz w:val="24"/>
              <w:szCs w:val="28"/>
            </w:rPr>
            <w:tab/>
          </w:r>
          <w:r>
            <w:rPr>
              <w:sz w:val="24"/>
              <w:szCs w:val="28"/>
            </w:rPr>
            <w:fldChar w:fldCharType="begin"/>
          </w:r>
          <w:r>
            <w:rPr>
              <w:sz w:val="24"/>
              <w:szCs w:val="28"/>
            </w:rPr>
            <w:instrText xml:space="preserve"> PAGEREF _Toc30583 \h </w:instrText>
          </w:r>
          <w:r>
            <w:rPr>
              <w:sz w:val="24"/>
              <w:szCs w:val="28"/>
            </w:rPr>
            <w:fldChar w:fldCharType="separate"/>
          </w:r>
          <w:r>
            <w:rPr>
              <w:sz w:val="24"/>
              <w:szCs w:val="28"/>
            </w:rPr>
            <w:t>34</w:t>
          </w:r>
          <w:r>
            <w:rPr>
              <w:sz w:val="24"/>
              <w:szCs w:val="28"/>
            </w:rPr>
            <w:fldChar w:fldCharType="end"/>
          </w:r>
          <w:r>
            <w:rPr>
              <w:rFonts w:hint="eastAsia" w:ascii="仿宋_GB2312" w:hAnsi="仿宋_GB2312" w:eastAsia="仿宋_GB2312" w:cs="仿宋_GB2312"/>
              <w:color w:val="000000" w:themeColor="text1"/>
              <w:kern w:val="2"/>
              <w:sz w:val="24"/>
              <w:szCs w:val="48"/>
              <w:highlight w:val="none"/>
              <w:lang w:val="en-US" w:eastAsia="zh-CN" w:bidi="ar-SA"/>
              <w14:textFill>
                <w14:solidFill>
                  <w14:schemeClr w14:val="tx1"/>
                </w14:solidFill>
              </w14:textFill>
            </w:rPr>
            <w:fldChar w:fldCharType="end"/>
          </w:r>
        </w:p>
        <w:p w14:paraId="20226785">
          <w:pPr>
            <w:widowControl w:val="0"/>
            <w:tabs>
              <w:tab w:val="right" w:leader="dot" w:pos="8306"/>
            </w:tabs>
            <w:adjustRightInd w:val="0"/>
            <w:snapToGrid w:val="0"/>
            <w:spacing w:line="360" w:lineRule="auto"/>
            <w:jc w:val="center"/>
            <w:rPr>
              <w:rFonts w:cs="Times New Roman"/>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kern w:val="2"/>
              <w:sz w:val="40"/>
              <w:szCs w:val="40"/>
              <w:highlight w:val="none"/>
              <w:lang w:val="en-US" w:eastAsia="zh-CN" w:bidi="ar-SA"/>
              <w14:textFill>
                <w14:solidFill>
                  <w14:schemeClr w14:val="tx1"/>
                </w14:solidFill>
              </w14:textFill>
            </w:rPr>
            <w:fldChar w:fldCharType="end"/>
          </w:r>
        </w:p>
      </w:sdtContent>
    </w:sdt>
    <w:p w14:paraId="74C017BC">
      <w:pPr>
        <w:rPr>
          <w:rFonts w:ascii="黑体" w:hAnsi="黑体" w:eastAsia="黑体" w:cs="Times New Roman"/>
          <w:b/>
          <w:color w:val="000000" w:themeColor="text1"/>
          <w:kern w:val="44"/>
          <w:sz w:val="36"/>
          <w:szCs w:val="36"/>
          <w:highlight w:val="none"/>
          <w14:textFill>
            <w14:solidFill>
              <w14:schemeClr w14:val="tx1"/>
            </w14:solidFill>
          </w14:textFill>
        </w:rPr>
      </w:pPr>
      <w:r>
        <w:rPr>
          <w:rFonts w:hint="eastAsia" w:ascii="黑体" w:hAnsi="黑体" w:eastAsia="黑体" w:cs="Times New Roman"/>
          <w:b/>
          <w:color w:val="000000" w:themeColor="text1"/>
          <w:kern w:val="44"/>
          <w:sz w:val="36"/>
          <w:szCs w:val="36"/>
          <w:highlight w:val="none"/>
          <w14:textFill>
            <w14:solidFill>
              <w14:schemeClr w14:val="tx1"/>
            </w14:solidFill>
          </w14:textFill>
        </w:rPr>
        <w:br w:type="page"/>
      </w:r>
    </w:p>
    <w:p w14:paraId="2F05D02A">
      <w:pPr>
        <w:keepNext/>
        <w:keepLines/>
        <w:numPr>
          <w:ilvl w:val="0"/>
          <w:numId w:val="1"/>
        </w:numPr>
        <w:spacing w:before="340" w:after="330" w:line="360" w:lineRule="auto"/>
        <w:ind w:left="0" w:firstLine="0"/>
        <w:jc w:val="center"/>
        <w:outlineLvl w:val="0"/>
        <w:rPr>
          <w:rFonts w:ascii="黑体" w:hAnsi="黑体" w:eastAsia="黑体" w:cs="Times New Roman"/>
          <w:bCs/>
          <w:color w:val="000000" w:themeColor="text1"/>
          <w:kern w:val="44"/>
          <w:sz w:val="36"/>
          <w:szCs w:val="36"/>
          <w:highlight w:val="none"/>
          <w14:textFill>
            <w14:solidFill>
              <w14:schemeClr w14:val="tx1"/>
            </w14:solidFill>
          </w14:textFill>
        </w:rPr>
      </w:pPr>
      <w:bookmarkStart w:id="12" w:name="_Toc7079049"/>
      <w:bookmarkStart w:id="13" w:name="_Toc83541715"/>
      <w:r>
        <w:rPr>
          <w:rFonts w:hint="eastAsia" w:ascii="黑体" w:hAnsi="黑体" w:eastAsia="黑体" w:cs="Times New Roman"/>
          <w:bCs/>
          <w:color w:val="000000" w:themeColor="text1"/>
          <w:kern w:val="44"/>
          <w:sz w:val="36"/>
          <w:szCs w:val="36"/>
          <w:highlight w:val="none"/>
          <w14:textFill>
            <w14:solidFill>
              <w14:schemeClr w14:val="tx1"/>
            </w14:solidFill>
          </w14:textFill>
        </w:rPr>
        <w:t xml:space="preserve"> </w:t>
      </w:r>
      <w:bookmarkStart w:id="14" w:name="_Toc27406"/>
      <w:bookmarkStart w:id="15" w:name="_Toc22147"/>
      <w:bookmarkStart w:id="16" w:name="_Toc12612"/>
      <w:r>
        <w:rPr>
          <w:rFonts w:hint="eastAsia" w:ascii="黑体" w:hAnsi="黑体" w:eastAsia="黑体" w:cs="Times New Roman"/>
          <w:bCs/>
          <w:color w:val="000000" w:themeColor="text1"/>
          <w:kern w:val="44"/>
          <w:sz w:val="36"/>
          <w:szCs w:val="36"/>
          <w:highlight w:val="none"/>
          <w14:textFill>
            <w14:solidFill>
              <w14:schemeClr w14:val="tx1"/>
            </w14:solidFill>
          </w14:textFill>
        </w:rPr>
        <w:t>总则</w:t>
      </w:r>
      <w:bookmarkEnd w:id="14"/>
      <w:bookmarkEnd w:id="15"/>
      <w:bookmarkEnd w:id="16"/>
    </w:p>
    <w:p w14:paraId="13BC334D">
      <w:pPr>
        <w:numPr>
          <w:ilvl w:val="0"/>
          <w:numId w:val="2"/>
        </w:numPr>
        <w:tabs>
          <w:tab w:val="left" w:pos="900"/>
        </w:tabs>
        <w:spacing w:line="360" w:lineRule="auto"/>
        <w:ind w:left="0" w:firstLine="640" w:firstLineChars="200"/>
        <w:rPr>
          <w:rFonts w:ascii="仿宋" w:hAnsi="仿宋" w:eastAsia="仿宋" w:cs="Times New Roman"/>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为规范</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中国移动江苏公司</w:t>
      </w:r>
      <w:r>
        <w:rPr>
          <w:rFonts w:hint="eastAsia" w:ascii="仿宋_GB2312" w:hAnsi="仿宋_GB2312" w:eastAsia="仿宋_GB2312" w:cs="仿宋_GB2312"/>
          <w:color w:val="000000" w:themeColor="text1"/>
          <w:sz w:val="32"/>
          <w:szCs w:val="32"/>
          <w:highlight w:val="none"/>
          <w14:textFill>
            <w14:solidFill>
              <w14:schemeClr w14:val="tx1"/>
            </w14:solidFill>
          </w14:textFill>
        </w:rPr>
        <w:t>网络成本管理，提高精细化管理水平，防范风险，实现“费用准确、稽核有效、流程规范、提质增效、风险可控”的管理目标，特制定《</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中国移动江苏公司</w:t>
      </w:r>
      <w:r>
        <w:rPr>
          <w:rFonts w:hint="eastAsia" w:ascii="仿宋_GB2312" w:hAnsi="仿宋_GB2312" w:eastAsia="仿宋_GB2312" w:cs="仿宋_GB2312"/>
          <w:color w:val="000000" w:themeColor="text1"/>
          <w:sz w:val="32"/>
          <w:szCs w:val="32"/>
          <w:highlight w:val="none"/>
          <w14:textFill>
            <w14:solidFill>
              <w14:schemeClr w14:val="tx1"/>
            </w14:solidFill>
          </w14:textFill>
        </w:rPr>
        <w:t>网络成本管理办法》（以下简称本办法）。</w:t>
      </w:r>
    </w:p>
    <w:p w14:paraId="29DDD736">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本办法中的网络成本范围，包括网络电费、站点租赁费、铁塔服务费、网络维修费、家客装移机工料费、集客装移机工料费、外部网络资源租赁费等。</w:t>
      </w:r>
    </w:p>
    <w:p w14:paraId="584EFFAF">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按照资本性支出（CAPEX）和营运成本支出（OPEX）的划分，网络成本属于OPEX中的成本科目，CAPEX支出不应列入网络成本中。</w:t>
      </w:r>
      <w:r>
        <w:rPr>
          <w:rFonts w:hint="eastAsia" w:ascii="仿宋_GB2312" w:hAnsi="仿宋_GB2312" w:eastAsia="仿宋_GB2312" w:cs="仿宋_GB2312"/>
          <w:color w:val="auto"/>
          <w:sz w:val="32"/>
          <w:szCs w:val="32"/>
          <w:highlight w:val="none"/>
        </w:rPr>
        <w:t>为统一</w:t>
      </w:r>
      <w:r>
        <w:rPr>
          <w:rFonts w:hint="eastAsia" w:ascii="仿宋_GB2312" w:hAnsi="仿宋_GB2312" w:eastAsia="仿宋_GB2312" w:cs="仿宋_GB2312"/>
          <w:color w:val="auto"/>
          <w:sz w:val="32"/>
          <w:szCs w:val="32"/>
          <w:highlight w:val="none"/>
          <w:lang w:val="en-US" w:eastAsia="zh-CN"/>
        </w:rPr>
        <w:t>全省</w:t>
      </w:r>
      <w:r>
        <w:rPr>
          <w:rFonts w:hint="eastAsia" w:ascii="仿宋_GB2312" w:hAnsi="仿宋_GB2312" w:eastAsia="仿宋_GB2312" w:cs="仿宋_GB2312"/>
          <w:color w:val="auto"/>
          <w:sz w:val="32"/>
          <w:szCs w:val="32"/>
          <w:highlight w:val="none"/>
        </w:rPr>
        <w:t>网络</w:t>
      </w:r>
      <w:r>
        <w:rPr>
          <w:rFonts w:ascii="仿宋_GB2312" w:hAnsi="仿宋_GB2312" w:eastAsia="仿宋_GB2312" w:cs="仿宋_GB2312"/>
          <w:color w:val="auto"/>
          <w:sz w:val="32"/>
          <w:szCs w:val="32"/>
          <w:highlight w:val="none"/>
        </w:rPr>
        <w:t>成本</w:t>
      </w:r>
      <w:r>
        <w:rPr>
          <w:rFonts w:hint="eastAsia" w:ascii="仿宋_GB2312" w:hAnsi="仿宋_GB2312" w:eastAsia="仿宋_GB2312" w:cs="仿宋_GB2312"/>
          <w:color w:val="auto"/>
          <w:sz w:val="32"/>
          <w:szCs w:val="32"/>
          <w:highlight w:val="none"/>
        </w:rPr>
        <w:t>列支口径，</w:t>
      </w:r>
      <w:r>
        <w:rPr>
          <w:rFonts w:hint="eastAsia" w:ascii="仿宋_GB2312" w:hAnsi="仿宋_GB2312" w:eastAsia="仿宋_GB2312" w:cs="仿宋_GB2312"/>
          <w:color w:val="auto"/>
          <w:sz w:val="32"/>
          <w:szCs w:val="32"/>
          <w:highlight w:val="none"/>
          <w:lang w:val="en-US" w:eastAsia="zh-CN"/>
        </w:rPr>
        <w:t>省本部、</w:t>
      </w:r>
      <w:r>
        <w:rPr>
          <w:rFonts w:hint="eastAsia" w:ascii="仿宋_GB2312" w:hAnsi="仿宋_GB2312" w:eastAsia="仿宋_GB2312" w:cs="仿宋_GB2312"/>
          <w:color w:val="auto"/>
          <w:sz w:val="32"/>
          <w:szCs w:val="32"/>
          <w:highlight w:val="none"/>
        </w:rPr>
        <w:t>各</w:t>
      </w:r>
      <w:r>
        <w:rPr>
          <w:rFonts w:hint="eastAsia" w:ascii="仿宋_GB2312" w:hAnsi="仿宋_GB2312" w:eastAsia="仿宋_GB2312" w:cs="仿宋_GB2312"/>
          <w:color w:val="auto"/>
          <w:sz w:val="32"/>
          <w:szCs w:val="32"/>
          <w:highlight w:val="none"/>
          <w:lang w:val="en-US" w:eastAsia="zh-CN"/>
        </w:rPr>
        <w:t>地市的</w:t>
      </w:r>
      <w:r>
        <w:rPr>
          <w:rFonts w:hint="eastAsia" w:ascii="仿宋_GB2312" w:hAnsi="仿宋_GB2312" w:eastAsia="仿宋_GB2312" w:cs="仿宋_GB2312"/>
          <w:color w:val="auto"/>
          <w:sz w:val="32"/>
          <w:szCs w:val="32"/>
          <w:highlight w:val="none"/>
        </w:rPr>
        <w:t>网络</w:t>
      </w:r>
      <w:r>
        <w:rPr>
          <w:rFonts w:ascii="仿宋_GB2312" w:hAnsi="仿宋_GB2312" w:eastAsia="仿宋_GB2312" w:cs="仿宋_GB2312"/>
          <w:color w:val="auto"/>
          <w:sz w:val="32"/>
          <w:szCs w:val="32"/>
          <w:highlight w:val="none"/>
        </w:rPr>
        <w:t>成本</w:t>
      </w:r>
      <w:r>
        <w:rPr>
          <w:rFonts w:hint="eastAsia" w:ascii="仿宋_GB2312" w:hAnsi="仿宋_GB2312" w:eastAsia="仿宋_GB2312" w:cs="仿宋_GB2312"/>
          <w:color w:val="auto"/>
          <w:sz w:val="32"/>
          <w:szCs w:val="32"/>
          <w:highlight w:val="none"/>
        </w:rPr>
        <w:t>项目必须列支在科目范畴内，并与财务部门保持一致。</w:t>
      </w:r>
    </w:p>
    <w:p w14:paraId="465403B2">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以资源精准投入、效益最优、核心能力内化为目标，按“分级分类、突出重点”的原则建立完善的网络运维成本分级分类管理体系，各级单位以单位成本标杆管理为抓手，开展对标逐优工作，精准定位成本管理问题并开展针对性的成本结构调整，提升资源使用效益。</w:t>
      </w:r>
    </w:p>
    <w:p w14:paraId="37C2F065">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组织开展网络成本提质增效工作，科学制定分阶段目标和工作方案，各级单位要结合核心能力内化、自智网络、数智化转型等工作，强化创新、加强</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优秀经验</w:t>
      </w:r>
      <w:r>
        <w:rPr>
          <w:rFonts w:hint="eastAsia" w:ascii="仿宋_GB2312" w:hAnsi="仿宋_GB2312" w:eastAsia="仿宋_GB2312" w:cs="仿宋_GB2312"/>
          <w:color w:val="000000" w:themeColor="text1"/>
          <w:sz w:val="32"/>
          <w:szCs w:val="32"/>
          <w:highlight w:val="none"/>
          <w14:textFill>
            <w14:solidFill>
              <w14:schemeClr w14:val="tx1"/>
            </w14:solidFill>
          </w14:textFill>
        </w:rPr>
        <w:t>推广应用，确保工作成效。</w:t>
      </w:r>
    </w:p>
    <w:p w14:paraId="2D321103">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网络成本管理是嵌入式风险防控重点领域，要符合“业务执行、业务稽核、业务支付相分离”原则，各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地市</w:t>
      </w:r>
      <w:r>
        <w:rPr>
          <w:rFonts w:hint="eastAsia" w:ascii="仿宋_GB2312" w:hAnsi="仿宋_GB2312" w:eastAsia="仿宋_GB2312" w:cs="仿宋_GB2312"/>
          <w:color w:val="000000" w:themeColor="text1"/>
          <w:sz w:val="32"/>
          <w:szCs w:val="32"/>
          <w:highlight w:val="none"/>
          <w14:textFill>
            <w14:solidFill>
              <w14:schemeClr w14:val="tx1"/>
            </w14:solidFill>
          </w14:textFill>
        </w:rPr>
        <w:t>公司要将风险防控嵌入到网络成本管理工作中，确保风险防控措施有效落地实施。</w:t>
      </w:r>
    </w:p>
    <w:p w14:paraId="5437DDE8">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集团</w:t>
      </w:r>
      <w:r>
        <w:rPr>
          <w:rFonts w:hint="eastAsia" w:ascii="仿宋_GB2312" w:hAnsi="仿宋_GB2312" w:eastAsia="仿宋_GB2312" w:cs="仿宋_GB2312"/>
          <w:color w:val="000000" w:themeColor="text1"/>
          <w:sz w:val="32"/>
          <w:szCs w:val="32"/>
          <w:highlight w:val="none"/>
          <w14:textFill>
            <w14:solidFill>
              <w14:schemeClr w14:val="tx1"/>
            </w14:solidFill>
          </w14:textFill>
        </w:rPr>
        <w:t>网络事业部</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依据本办法制定中国移动江苏公司网络维修费</w:t>
      </w:r>
      <w:r>
        <w:rPr>
          <w:rFonts w:hint="eastAsia" w:ascii="仿宋_GB2312" w:hAnsi="仿宋_GB2312" w:eastAsia="仿宋_GB2312" w:cs="仿宋_GB2312"/>
          <w:color w:val="000000" w:themeColor="text1"/>
          <w:sz w:val="32"/>
          <w:szCs w:val="32"/>
          <w:highlight w:val="none"/>
          <w14:textFill>
            <w14:solidFill>
              <w14:schemeClr w14:val="tx1"/>
            </w14:solidFill>
          </w14:textFill>
        </w:rPr>
        <w:t>四级科目</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列支规范、网络成本分级分类指标体系、网络成本管理分组方案、网络成本管理系统维修费稽核范围、网络成本管理系统维修费特殊业务场景清单等规范，作为全网实施标准。</w:t>
      </w:r>
    </w:p>
    <w:p w14:paraId="14D23CE4">
      <w:pPr>
        <w:numPr>
          <w:ilvl w:val="0"/>
          <w:numId w:val="2"/>
        </w:numPr>
        <w:tabs>
          <w:tab w:val="left" w:pos="900"/>
        </w:tabs>
        <w:spacing w:line="360" w:lineRule="auto"/>
        <w:ind w:left="0" w:firstLine="640" w:firstLineChars="200"/>
        <w:rPr>
          <w:rFonts w:ascii="黑体" w:hAnsi="黑体" w:eastAsia="黑体" w:cs="Times New Roman"/>
          <w:bCs/>
          <w:color w:val="000000" w:themeColor="text1"/>
          <w:kern w:val="44"/>
          <w:sz w:val="36"/>
          <w:szCs w:val="36"/>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本办法适用于</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中国移动江苏公司</w:t>
      </w:r>
      <w:r>
        <w:rPr>
          <w:rFonts w:hint="eastAsia" w:ascii="仿宋_GB2312" w:hAnsi="仿宋_GB2312" w:eastAsia="仿宋_GB2312" w:cs="仿宋_GB2312"/>
          <w:color w:val="000000" w:themeColor="text1"/>
          <w:sz w:val="32"/>
          <w:szCs w:val="32"/>
          <w:highlight w:val="none"/>
          <w14:textFill>
            <w14:solidFill>
              <w14:schemeClr w14:val="tx1"/>
            </w14:solidFill>
          </w14:textFill>
        </w:rPr>
        <w:t>通信集团有限公司及所属各单位的网络成本管理工作。</w:t>
      </w:r>
    </w:p>
    <w:p w14:paraId="078D8D7C">
      <w:pPr>
        <w:numPr>
          <w:ilvl w:val="0"/>
          <w:numId w:val="0"/>
        </w:numPr>
        <w:tabs>
          <w:tab w:val="left" w:pos="900"/>
        </w:tabs>
        <w:spacing w:line="360" w:lineRule="auto"/>
        <w:ind w:leftChars="200"/>
        <w:rPr>
          <w:rFonts w:ascii="黑体" w:hAnsi="黑体" w:eastAsia="黑体" w:cs="Times New Roman"/>
          <w:bCs/>
          <w:color w:val="000000" w:themeColor="text1"/>
          <w:kern w:val="44"/>
          <w:sz w:val="36"/>
          <w:szCs w:val="36"/>
          <w:highlight w:val="none"/>
          <w14:textFill>
            <w14:solidFill>
              <w14:schemeClr w14:val="tx1"/>
            </w14:solidFill>
          </w14:textFill>
        </w:rPr>
      </w:pPr>
    </w:p>
    <w:p w14:paraId="6A2D1D8F">
      <w:pPr>
        <w:keepNext/>
        <w:keepLines/>
        <w:numPr>
          <w:ilvl w:val="0"/>
          <w:numId w:val="1"/>
        </w:numPr>
        <w:spacing w:before="340" w:after="330" w:line="360" w:lineRule="auto"/>
        <w:ind w:left="0" w:firstLine="0"/>
        <w:jc w:val="center"/>
        <w:outlineLvl w:val="0"/>
        <w:rPr>
          <w:rFonts w:hint="eastAsia" w:ascii="黑体" w:hAnsi="黑体" w:eastAsia="黑体" w:cs="Times New Roman"/>
          <w:bCs/>
          <w:color w:val="000000" w:themeColor="text1"/>
          <w:kern w:val="44"/>
          <w:sz w:val="36"/>
          <w:szCs w:val="36"/>
          <w:highlight w:val="none"/>
          <w14:textFill>
            <w14:solidFill>
              <w14:schemeClr w14:val="tx1"/>
            </w14:solidFill>
          </w14:textFill>
        </w:rPr>
      </w:pPr>
      <w:r>
        <w:rPr>
          <w:rFonts w:hint="eastAsia" w:ascii="黑体" w:hAnsi="黑体" w:eastAsia="黑体" w:cs="Times New Roman"/>
          <w:bCs/>
          <w:color w:val="000000" w:themeColor="text1"/>
          <w:kern w:val="44"/>
          <w:sz w:val="36"/>
          <w:szCs w:val="36"/>
          <w:highlight w:val="none"/>
          <w14:textFill>
            <w14:solidFill>
              <w14:schemeClr w14:val="tx1"/>
            </w14:solidFill>
          </w14:textFill>
        </w:rPr>
        <w:t xml:space="preserve"> </w:t>
      </w:r>
      <w:bookmarkStart w:id="17" w:name="_Toc6256"/>
      <w:bookmarkStart w:id="18" w:name="_Toc3088"/>
      <w:bookmarkStart w:id="19" w:name="_Toc2224"/>
      <w:r>
        <w:rPr>
          <w:rFonts w:hint="eastAsia" w:ascii="黑体" w:hAnsi="黑体" w:eastAsia="黑体" w:cs="Times New Roman"/>
          <w:bCs/>
          <w:color w:val="000000" w:themeColor="text1"/>
          <w:kern w:val="44"/>
          <w:sz w:val="36"/>
          <w:szCs w:val="36"/>
          <w:highlight w:val="none"/>
          <w14:textFill>
            <w14:solidFill>
              <w14:schemeClr w14:val="tx1"/>
            </w14:solidFill>
          </w14:textFill>
        </w:rPr>
        <w:t>组织机构及职责</w:t>
      </w:r>
      <w:bookmarkEnd w:id="12"/>
      <w:bookmarkEnd w:id="13"/>
      <w:bookmarkEnd w:id="17"/>
      <w:bookmarkEnd w:id="18"/>
      <w:bookmarkEnd w:id="19"/>
    </w:p>
    <w:p w14:paraId="54DBBE0D">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 w:hAnsi="仿宋" w:eastAsia="仿宋_GB2312" w:cs="Times New Roman"/>
          <w:color w:val="000000" w:themeColor="text1"/>
          <w:sz w:val="32"/>
          <w:szCs w:val="32"/>
          <w:highlight w:val="none"/>
          <w14:textFill>
            <w14:solidFill>
              <w14:schemeClr w14:val="tx1"/>
            </w14:solidFill>
          </w14:textFill>
        </w:rPr>
        <w:t>网络成本管理按角色分为成本综合管理、专业运维成本管理和执行三部分。成本综合管理负责网络成本的统一管理，专业运维成本管理负责本专业网络成本的具体指导和直接管理，执行即负责网络成本的具体执行。</w:t>
      </w:r>
    </w:p>
    <w:p w14:paraId="6465D4AE">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 w:hAnsi="仿宋" w:eastAsia="仿宋_GB2312" w:cs="Times New Roman"/>
          <w:color w:val="000000" w:themeColor="text1"/>
          <w:sz w:val="32"/>
          <w:szCs w:val="32"/>
          <w:highlight w:val="none"/>
          <w14:textFill>
            <w14:solidFill>
              <w14:schemeClr w14:val="tx1"/>
            </w14:solidFill>
          </w14:textFill>
        </w:rPr>
        <w:t>省公司网络部为网络成本综合管理部门，各项网络成本可进一步细分专业，专业运维成本管理由省网络部牵头组织明确，专业范围包括不限于无线、传输、综合配套、家客、集客、核心网、数据网、云平台、网络支撑网、网络信息安全。</w:t>
      </w:r>
      <w:r>
        <w:rPr>
          <w:rFonts w:hint="eastAsia" w:ascii="仿宋_GB2312" w:hAnsi="仿宋_GB2312" w:eastAsia="仿宋_GB2312" w:cs="仿宋_GB2312"/>
          <w:color w:val="auto"/>
          <w:sz w:val="32"/>
          <w:szCs w:val="32"/>
          <w:highlight w:val="none"/>
          <w:lang w:val="en-US" w:eastAsia="zh-CN"/>
        </w:rPr>
        <w:t>各地市</w:t>
      </w:r>
      <w:r>
        <w:rPr>
          <w:rFonts w:hint="eastAsia" w:ascii="仿宋_GB2312" w:hAnsi="仿宋_GB2312" w:eastAsia="仿宋_GB2312" w:cs="仿宋_GB2312"/>
          <w:color w:val="auto"/>
          <w:sz w:val="32"/>
          <w:szCs w:val="32"/>
          <w:highlight w:val="none"/>
        </w:rPr>
        <w:t>需明确本单位网络成本综合管理部门</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并配合省网络部做好全省网络成本精细化管控工作。</w:t>
      </w:r>
    </w:p>
    <w:p w14:paraId="6E22B34C">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 w:hAnsi="仿宋" w:eastAsia="仿宋_GB2312" w:cs="Times New Roman"/>
          <w:color w:val="000000" w:themeColor="text1"/>
          <w:sz w:val="32"/>
          <w:szCs w:val="32"/>
          <w:highlight w:val="none"/>
          <w14:textFill>
            <w14:solidFill>
              <w14:schemeClr w14:val="tx1"/>
            </w14:solidFill>
          </w14:textFill>
        </w:rPr>
        <w:t>根据“谁执行，谁负责”的原则，直接使用各项网络成本的为网络成本执行单位。</w:t>
      </w:r>
    </w:p>
    <w:p w14:paraId="052224AD">
      <w:pPr>
        <w:numPr>
          <w:ilvl w:val="0"/>
          <w:numId w:val="2"/>
        </w:numPr>
        <w:tabs>
          <w:tab w:val="left" w:pos="900"/>
        </w:tabs>
        <w:spacing w:line="360" w:lineRule="auto"/>
        <w:ind w:left="0" w:firstLine="643" w:firstLineChars="200"/>
        <w:rPr>
          <w:rFonts w:ascii="仿宋_GB2312" w:hAnsi="仿宋_GB2312" w:eastAsia="仿宋_GB2312" w:cs="仿宋_GB2312"/>
          <w:b/>
          <w:bCs/>
          <w:color w:val="000000" w:themeColor="text1"/>
          <w:sz w:val="32"/>
          <w:szCs w:val="32"/>
          <w:highlight w:val="none"/>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省市网络部门（专业室）</w:t>
      </w:r>
      <w:r>
        <w:rPr>
          <w:rFonts w:hint="eastAsia" w:ascii="仿宋_GB2312" w:hAnsi="仿宋_GB2312" w:eastAsia="仿宋_GB2312" w:cs="仿宋_GB2312"/>
          <w:b/>
          <w:bCs/>
          <w:color w:val="000000" w:themeColor="text1"/>
          <w:sz w:val="32"/>
          <w:szCs w:val="32"/>
          <w:highlight w:val="none"/>
          <w14:textFill>
            <w14:solidFill>
              <w14:schemeClr w14:val="tx1"/>
            </w14:solidFill>
          </w14:textFill>
        </w:rPr>
        <w:t>主要职责如下：</w:t>
      </w:r>
    </w:p>
    <w:p w14:paraId="224F52F0">
      <w:pPr>
        <w:widowControl w:val="0"/>
        <w:numPr>
          <w:ilvl w:val="0"/>
          <w:numId w:val="3"/>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省网络部网络运营室</w:t>
      </w:r>
    </w:p>
    <w:p w14:paraId="2493F4B3">
      <w:pPr>
        <w:widowControl w:val="0"/>
        <w:numPr>
          <w:ilvl w:val="0"/>
          <w:numId w:val="4"/>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负责制定全省网络成本管理实施细则，明确网络成本综合管理与专业运维成本管理职责，结合本省情况细化具体工作要求并落实到各责任单位。</w:t>
      </w:r>
    </w:p>
    <w:p w14:paraId="2002E57B">
      <w:pPr>
        <w:widowControl w:val="0"/>
        <w:numPr>
          <w:ilvl w:val="0"/>
          <w:numId w:val="4"/>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负责落实配置网络成本的管理人员与稽核人员（其中网络电费、站点租赁费和铁塔服务费需配置专职稽核人员），组织开展以省为单位的集中稽核，开展合同补录稽核、电量/业务量稽核、费用稽核、异常分析等工作，定期开展全省稽核情况的评估和通报工作。</w:t>
      </w:r>
    </w:p>
    <w:p w14:paraId="2BD0500D">
      <w:pPr>
        <w:widowControl w:val="0"/>
        <w:numPr>
          <w:ilvl w:val="0"/>
          <w:numId w:val="4"/>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负责本省网络成本预算的总体管理，结合公司战略、业务及网络发展等因素，做好网络成本预算的科学规划。</w:t>
      </w:r>
    </w:p>
    <w:p w14:paraId="1E79401A">
      <w:pPr>
        <w:widowControl w:val="0"/>
        <w:numPr>
          <w:ilvl w:val="0"/>
          <w:numId w:val="4"/>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负责制定本省网络成本管控目标，组织开展提质增效工作，搭建省内网络运维成本分级分类管理体系，组织开展对标逐优，促进网络提质增效。</w:t>
      </w:r>
    </w:p>
    <w:p w14:paraId="789D6DAC">
      <w:pPr>
        <w:widowControl w:val="0"/>
        <w:numPr>
          <w:ilvl w:val="0"/>
          <w:numId w:val="4"/>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负责制定本省的转供电电费、站点租赁费、外部网络资源租赁费的价格标杆和分级审批流程。</w:t>
      </w:r>
    </w:p>
    <w:p w14:paraId="7300E25B">
      <w:pPr>
        <w:widowControl w:val="0"/>
        <w:numPr>
          <w:ilvl w:val="0"/>
          <w:numId w:val="4"/>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负责组织省内各单位规范应用集团网络成本管理系统并提出系统使用需求。</w:t>
      </w:r>
    </w:p>
    <w:p w14:paraId="7BC6AA3C">
      <w:pPr>
        <w:widowControl w:val="0"/>
        <w:numPr>
          <w:ilvl w:val="0"/>
          <w:numId w:val="4"/>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配合财务部门开展网络成本费用数据一致性、准确性管理，核查网络成本列账规范性。</w:t>
      </w:r>
    </w:p>
    <w:p w14:paraId="5F924D2D">
      <w:pPr>
        <w:widowControl w:val="0"/>
        <w:numPr>
          <w:ilvl w:val="0"/>
          <w:numId w:val="3"/>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省网络部一部三中心专业室</w:t>
      </w:r>
    </w:p>
    <w:p w14:paraId="7E6895BA">
      <w:pPr>
        <w:widowControl w:val="0"/>
        <w:numPr>
          <w:ilvl w:val="0"/>
          <w:numId w:val="5"/>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配合制定本省网络成本管理实施细则，监督指导本省各网络成本执行单位规范实施。</w:t>
      </w:r>
    </w:p>
    <w:p w14:paraId="301D579A">
      <w:pPr>
        <w:widowControl w:val="0"/>
        <w:numPr>
          <w:ilvl w:val="0"/>
          <w:numId w:val="5"/>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配合省网络部网络运营室进行本专业网络成本预算管理，按照财务科目粒度，组织网络成本执行单位进行各项网络成本预算申报,落实年度网络成本预算编制、审核工作，做好预算执行进度管控</w:t>
      </w:r>
      <w:bookmarkStart w:id="20" w:name="_Hlk10040823"/>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w:t>
      </w:r>
      <w:bookmarkStart w:id="21" w:name="_Hlk10039016"/>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根据实际情况发起预算调整</w:t>
      </w:r>
      <w:bookmarkEnd w:id="20"/>
      <w:bookmarkEnd w:id="21"/>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w:t>
      </w:r>
    </w:p>
    <w:p w14:paraId="32FBD867">
      <w:pPr>
        <w:widowControl w:val="0"/>
        <w:numPr>
          <w:ilvl w:val="0"/>
          <w:numId w:val="5"/>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负责制定本专业网络成本管控目标，对本专业网络成本开展分级分类管理，建立省内分级分类成本指标，开展对标分析，定期对网络成本管理情况进行评估分析与通报，督促问题整改。</w:t>
      </w:r>
    </w:p>
    <w:p w14:paraId="0CBE99E7">
      <w:pPr>
        <w:widowControl w:val="0"/>
        <w:numPr>
          <w:ilvl w:val="0"/>
          <w:numId w:val="5"/>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负责网络成本管理系统中各专业成本相关数据的准确性和完整性，及时、准确上报总部所需各专业网络成本相关数据。</w:t>
      </w:r>
    </w:p>
    <w:p w14:paraId="06CC54FF">
      <w:pPr>
        <w:widowControl w:val="0"/>
        <w:numPr>
          <w:ilvl w:val="0"/>
          <w:numId w:val="5"/>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负责组织开展各专业网络成本的提质增效工作，落实分级分类科学管理，实施全流程管控，提升精细管理水平。</w:t>
      </w:r>
    </w:p>
    <w:p w14:paraId="7D644349">
      <w:pPr>
        <w:widowControl w:val="0"/>
        <w:numPr>
          <w:ilvl w:val="0"/>
          <w:numId w:val="5"/>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负责本省铁塔维护对接并落实维护质量考核管理，负责本省铁塔站点搬迁优化管理，落实新站址网络覆盖规模要求，督促原址下线，规范实施站点搬迁优化质量考核。</w:t>
      </w:r>
    </w:p>
    <w:p w14:paraId="491808B8">
      <w:pPr>
        <w:widowControl w:val="0"/>
        <w:numPr>
          <w:ilvl w:val="0"/>
          <w:numId w:val="3"/>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地市公司网络部</w:t>
      </w:r>
    </w:p>
    <w:p w14:paraId="6879DBEB">
      <w:pPr>
        <w:numPr>
          <w:ilvl w:val="0"/>
          <w:numId w:val="6"/>
        </w:numPr>
        <w:ind w:left="0" w:firstLine="420"/>
        <w:jc w:val="left"/>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负责组织落实省公司关于网络成本管理的相关要求。</w:t>
      </w:r>
    </w:p>
    <w:p w14:paraId="527EC594">
      <w:pPr>
        <w:numPr>
          <w:ilvl w:val="0"/>
          <w:numId w:val="6"/>
        </w:numPr>
        <w:tabs>
          <w:tab w:val="left" w:pos="900"/>
        </w:tabs>
        <w:spacing w:line="360" w:lineRule="auto"/>
        <w:ind w:left="0" w:firstLine="42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负责本单位网络成本预算管理，组织开展各项网络成本预算申报,落实本单位年度网络成本预算编制、审核工作，做好预算执行进度管控，根据实际情况发起预算调整。</w:t>
      </w:r>
    </w:p>
    <w:p w14:paraId="6C7856D6">
      <w:pPr>
        <w:numPr>
          <w:ilvl w:val="0"/>
          <w:numId w:val="6"/>
        </w:numPr>
        <w:tabs>
          <w:tab w:val="left" w:pos="900"/>
        </w:tabs>
        <w:spacing w:line="360" w:lineRule="auto"/>
        <w:ind w:left="0" w:firstLine="42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负责制定本单位各类网络成本管控目标，定期对网络成本管理情况组织对标分析、异常分析及通报，组织实施问题确认与整改核实。</w:t>
      </w:r>
    </w:p>
    <w:p w14:paraId="5BE298B0">
      <w:pPr>
        <w:numPr>
          <w:ilvl w:val="0"/>
          <w:numId w:val="6"/>
        </w:numPr>
        <w:tabs>
          <w:tab w:val="left" w:pos="900"/>
        </w:tabs>
        <w:spacing w:line="360" w:lineRule="auto"/>
        <w:ind w:left="0" w:firstLine="42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负责按照“业务执行、业务稽核、业务支付相分离”原则配置各类网络成本相关人员，开展本单位网络成本相关的合同签订（含续签、变更等）、费用开票与报账等，并以市为单位开展相关集中审核与分析工作（如合同与录入审核、电量审核、费用报账审核、基础信息审核、异常分析等），对审核或集中稽核发现的异常情况及时进行核实处理和闭环管理。</w:t>
      </w:r>
    </w:p>
    <w:p w14:paraId="3F5F2A15">
      <w:pPr>
        <w:numPr>
          <w:ilvl w:val="0"/>
          <w:numId w:val="6"/>
        </w:numPr>
        <w:tabs>
          <w:tab w:val="left" w:pos="900"/>
        </w:tabs>
        <w:spacing w:line="360" w:lineRule="auto"/>
        <w:ind w:left="0" w:firstLine="42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负责组织开展网络成本管理系统中本单位相关基础数据录入与维护工作，保证数据的及时性及准确性；按照总部及省公司要求规范成本管理系统应用，提出系统使用需求。</w:t>
      </w:r>
    </w:p>
    <w:p w14:paraId="108745EA">
      <w:pPr>
        <w:numPr>
          <w:ilvl w:val="0"/>
          <w:numId w:val="6"/>
        </w:numPr>
        <w:tabs>
          <w:tab w:val="left" w:pos="900"/>
        </w:tabs>
        <w:spacing w:line="360" w:lineRule="auto"/>
        <w:ind w:left="0" w:firstLine="42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负责落实本单位各项网络成本相关的提质增效举措。</w:t>
      </w:r>
    </w:p>
    <w:p w14:paraId="4F90DB64">
      <w:pPr>
        <w:numPr>
          <w:ilvl w:val="0"/>
          <w:numId w:val="2"/>
        </w:numPr>
        <w:tabs>
          <w:tab w:val="left" w:pos="900"/>
        </w:tabs>
        <w:spacing w:line="360" w:lineRule="auto"/>
        <w:ind w:left="0" w:firstLine="643" w:firstLineChars="200"/>
        <w:rPr>
          <w:rFonts w:ascii="仿宋_GB2312" w:hAnsi="仿宋" w:eastAsia="仿宋_GB2312" w:cs="Times New Roman"/>
          <w:b/>
          <w:bCs/>
          <w:color w:val="000000" w:themeColor="text1"/>
          <w:sz w:val="32"/>
          <w:szCs w:val="32"/>
          <w:highlight w:val="none"/>
          <w14:textFill>
            <w14:solidFill>
              <w14:schemeClr w14:val="tx1"/>
            </w14:solidFill>
          </w14:textFill>
        </w:rPr>
      </w:pPr>
      <w:r>
        <w:rPr>
          <w:rFonts w:hint="eastAsia" w:ascii="仿宋_GB2312" w:hAnsi="仿宋" w:eastAsia="仿宋_GB2312" w:cs="Times New Roman"/>
          <w:b/>
          <w:bCs/>
          <w:color w:val="000000" w:themeColor="text1"/>
          <w:sz w:val="32"/>
          <w:szCs w:val="32"/>
          <w:highlight w:val="none"/>
          <w14:textFill>
            <w14:solidFill>
              <w14:schemeClr w14:val="tx1"/>
            </w14:solidFill>
          </w14:textFill>
        </w:rPr>
        <w:t>与财务部门关系：</w:t>
      </w:r>
    </w:p>
    <w:p w14:paraId="462875A4">
      <w:pPr>
        <w:numPr>
          <w:ilvl w:val="-1"/>
          <w:numId w:val="0"/>
        </w:numPr>
        <w:ind w:left="0" w:firstLine="640" w:firstLineChars="200"/>
        <w:jc w:val="left"/>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省市网络部与财务部协同完成预算编制、审核工作，共同推进业财融合管理，促进财务和业务的精益化管理协同</w:t>
      </w:r>
    </w:p>
    <w:p w14:paraId="0B1AE2F5">
      <w:pPr>
        <w:keepNext/>
        <w:keepLines/>
        <w:numPr>
          <w:ilvl w:val="0"/>
          <w:numId w:val="1"/>
        </w:numPr>
        <w:spacing w:before="340" w:after="330" w:line="360" w:lineRule="auto"/>
        <w:ind w:left="0" w:firstLine="0"/>
        <w:jc w:val="center"/>
        <w:outlineLvl w:val="0"/>
        <w:rPr>
          <w:rFonts w:hint="eastAsia" w:ascii="黑体" w:hAnsi="黑体" w:eastAsia="黑体" w:cs="Times New Roman"/>
          <w:bCs/>
          <w:color w:val="000000" w:themeColor="text1"/>
          <w:kern w:val="44"/>
          <w:sz w:val="36"/>
          <w:szCs w:val="36"/>
          <w:highlight w:val="none"/>
          <w14:textFill>
            <w14:solidFill>
              <w14:schemeClr w14:val="tx1"/>
            </w14:solidFill>
          </w14:textFill>
        </w:rPr>
      </w:pPr>
      <w:bookmarkStart w:id="22" w:name="_Toc19885"/>
      <w:r>
        <w:rPr>
          <w:rFonts w:hint="eastAsia" w:ascii="黑体" w:hAnsi="黑体" w:eastAsia="黑体" w:cs="Times New Roman"/>
          <w:bCs/>
          <w:color w:val="000000" w:themeColor="text1"/>
          <w:kern w:val="44"/>
          <w:sz w:val="36"/>
          <w:szCs w:val="36"/>
          <w:highlight w:val="none"/>
          <w:lang w:val="en-US" w:eastAsia="zh-CN"/>
          <w14:textFill>
            <w14:solidFill>
              <w14:schemeClr w14:val="tx1"/>
            </w14:solidFill>
          </w14:textFill>
        </w:rPr>
        <w:t>成本使用</w:t>
      </w:r>
      <w:r>
        <w:rPr>
          <w:rFonts w:hint="eastAsia" w:ascii="黑体" w:hAnsi="黑体" w:eastAsia="黑体" w:cs="Times New Roman"/>
          <w:bCs/>
          <w:color w:val="000000" w:themeColor="text1"/>
          <w:kern w:val="44"/>
          <w:sz w:val="36"/>
          <w:szCs w:val="36"/>
          <w:highlight w:val="none"/>
          <w14:textFill>
            <w14:solidFill>
              <w14:schemeClr w14:val="tx1"/>
            </w14:solidFill>
          </w14:textFill>
        </w:rPr>
        <w:t>需求</w:t>
      </w:r>
      <w:r>
        <w:rPr>
          <w:rFonts w:hint="eastAsia" w:ascii="黑体" w:hAnsi="黑体" w:eastAsia="黑体" w:cs="Times New Roman"/>
          <w:bCs/>
          <w:color w:val="000000" w:themeColor="text1"/>
          <w:kern w:val="44"/>
          <w:sz w:val="36"/>
          <w:szCs w:val="36"/>
          <w:highlight w:val="none"/>
          <w:lang w:val="en-US" w:eastAsia="zh-CN"/>
          <w14:textFill>
            <w14:solidFill>
              <w14:schemeClr w14:val="tx1"/>
            </w14:solidFill>
          </w14:textFill>
        </w:rPr>
        <w:t>及合同</w:t>
      </w:r>
      <w:r>
        <w:rPr>
          <w:rFonts w:hint="eastAsia" w:ascii="黑体" w:hAnsi="黑体" w:eastAsia="黑体" w:cs="Times New Roman"/>
          <w:bCs/>
          <w:color w:val="000000" w:themeColor="text1"/>
          <w:kern w:val="44"/>
          <w:sz w:val="36"/>
          <w:szCs w:val="36"/>
          <w:highlight w:val="none"/>
          <w14:textFill>
            <w14:solidFill>
              <w14:schemeClr w14:val="tx1"/>
            </w14:solidFill>
          </w14:textFill>
        </w:rPr>
        <w:t>管理</w:t>
      </w:r>
      <w:bookmarkEnd w:id="22"/>
    </w:p>
    <w:p w14:paraId="2F671435">
      <w:pPr>
        <w:numPr>
          <w:ilvl w:val="0"/>
          <w:numId w:val="7"/>
        </w:numPr>
        <w:tabs>
          <w:tab w:val="left" w:pos="900"/>
        </w:tabs>
        <w:spacing w:line="360" w:lineRule="auto"/>
        <w:ind w:left="0" w:firstLine="640" w:firstLineChars="200"/>
        <w:rPr>
          <w:rFonts w:ascii="仿宋_GB2312" w:hAnsi="仿宋" w:eastAsia="仿宋_GB2312" w:cs="Times New Roman"/>
          <w:color w:val="auto"/>
          <w:sz w:val="32"/>
          <w:szCs w:val="32"/>
          <w:highlight w:val="none"/>
        </w:rPr>
      </w:pPr>
      <w:r>
        <w:rPr>
          <w:rFonts w:hint="eastAsia" w:ascii="仿宋_GB2312" w:hAnsi="仿宋" w:eastAsia="仿宋_GB2312" w:cs="Times New Roman"/>
          <w:color w:val="auto"/>
          <w:sz w:val="32"/>
          <w:szCs w:val="32"/>
          <w:highlight w:val="none"/>
        </w:rPr>
        <w:t>各</w:t>
      </w:r>
      <w:r>
        <w:rPr>
          <w:rFonts w:hint="eastAsia" w:ascii="仿宋_GB2312" w:hAnsi="仿宋" w:eastAsia="仿宋_GB2312" w:cs="Times New Roman"/>
          <w:color w:val="auto"/>
          <w:sz w:val="32"/>
          <w:szCs w:val="32"/>
          <w:highlight w:val="none"/>
          <w:lang w:val="en-US" w:eastAsia="zh-CN"/>
        </w:rPr>
        <w:t>地市</w:t>
      </w:r>
      <w:r>
        <w:rPr>
          <w:rFonts w:hint="eastAsia" w:ascii="仿宋_GB2312" w:hAnsi="仿宋" w:eastAsia="仿宋_GB2312" w:cs="Times New Roman"/>
          <w:color w:val="auto"/>
          <w:sz w:val="32"/>
          <w:szCs w:val="32"/>
          <w:highlight w:val="none"/>
        </w:rPr>
        <w:t>应按照采购需求管理相关规定，做好采购需求的编制、决策和提交。</w:t>
      </w:r>
    </w:p>
    <w:p w14:paraId="108A9369">
      <w:pPr>
        <w:numPr>
          <w:ilvl w:val="0"/>
          <w:numId w:val="7"/>
        </w:numPr>
        <w:tabs>
          <w:tab w:val="left" w:pos="900"/>
        </w:tabs>
        <w:spacing w:line="360" w:lineRule="auto"/>
        <w:ind w:left="0" w:firstLine="640" w:firstLineChars="200"/>
        <w:rPr>
          <w:rFonts w:ascii="仿宋_GB2312" w:hAnsi="仿宋" w:eastAsia="仿宋_GB2312" w:cs="Times New Roman"/>
          <w:color w:val="auto"/>
          <w:sz w:val="32"/>
          <w:szCs w:val="32"/>
          <w:highlight w:val="none"/>
        </w:rPr>
      </w:pPr>
      <w:r>
        <w:rPr>
          <w:rFonts w:hint="eastAsia" w:ascii="仿宋_GB2312" w:hAnsi="仿宋" w:eastAsia="仿宋_GB2312" w:cs="Times New Roman"/>
          <w:color w:val="auto"/>
          <w:sz w:val="32"/>
          <w:szCs w:val="32"/>
          <w:highlight w:val="none"/>
        </w:rPr>
        <w:t>各</w:t>
      </w:r>
      <w:r>
        <w:rPr>
          <w:rFonts w:hint="eastAsia" w:ascii="仿宋_GB2312" w:hAnsi="仿宋" w:eastAsia="仿宋_GB2312" w:cs="Times New Roman"/>
          <w:color w:val="auto"/>
          <w:sz w:val="32"/>
          <w:szCs w:val="32"/>
          <w:highlight w:val="none"/>
          <w:lang w:val="en-US" w:eastAsia="zh-CN"/>
        </w:rPr>
        <w:t>地市</w:t>
      </w:r>
      <w:r>
        <w:rPr>
          <w:rFonts w:hint="eastAsia" w:ascii="仿宋_GB2312" w:hAnsi="仿宋" w:eastAsia="仿宋_GB2312" w:cs="Times New Roman"/>
          <w:color w:val="auto"/>
          <w:sz w:val="32"/>
          <w:szCs w:val="32"/>
          <w:highlight w:val="none"/>
        </w:rPr>
        <w:t>应</w:t>
      </w:r>
      <w:r>
        <w:rPr>
          <w:rFonts w:hint="eastAsia" w:ascii="仿宋_GB2312" w:hAnsi="仿宋" w:eastAsia="仿宋_GB2312" w:cs="Times New Roman"/>
          <w:color w:val="auto"/>
          <w:sz w:val="32"/>
          <w:szCs w:val="32"/>
          <w:highlight w:val="none"/>
          <w:lang w:val="en-US" w:eastAsia="zh-CN"/>
        </w:rPr>
        <w:t>根据省公司要求实施</w:t>
      </w:r>
      <w:r>
        <w:rPr>
          <w:rFonts w:hint="eastAsia" w:ascii="仿宋_GB2312" w:hAnsi="仿宋" w:eastAsia="仿宋_GB2312" w:cs="Times New Roman"/>
          <w:color w:val="auto"/>
          <w:sz w:val="32"/>
          <w:szCs w:val="32"/>
          <w:highlight w:val="none"/>
        </w:rPr>
        <w:t>网络用电、站点租赁、外部网络资源租赁</w:t>
      </w:r>
      <w:r>
        <w:rPr>
          <w:rFonts w:hint="eastAsia" w:ascii="仿宋_GB2312" w:hAnsi="仿宋" w:eastAsia="仿宋_GB2312" w:cs="Times New Roman"/>
          <w:color w:val="auto"/>
          <w:sz w:val="32"/>
          <w:szCs w:val="32"/>
          <w:highlight w:val="none"/>
          <w:lang w:val="en-US" w:eastAsia="zh-CN"/>
        </w:rPr>
        <w:t>合同的</w:t>
      </w:r>
      <w:r>
        <w:rPr>
          <w:rFonts w:hint="eastAsia" w:ascii="仿宋_GB2312" w:hAnsi="仿宋" w:eastAsia="仿宋_GB2312" w:cs="Times New Roman"/>
          <w:color w:val="auto"/>
          <w:sz w:val="32"/>
          <w:szCs w:val="32"/>
          <w:highlight w:val="none"/>
        </w:rPr>
        <w:t>新签、续签，并根据地域实际情况确保定价合理。对家客、集客装移机服务</w:t>
      </w:r>
      <w:r>
        <w:rPr>
          <w:rFonts w:hint="eastAsia" w:ascii="仿宋_GB2312" w:hAnsi="仿宋" w:eastAsia="仿宋_GB2312" w:cs="Times New Roman"/>
          <w:color w:val="auto"/>
          <w:sz w:val="32"/>
          <w:szCs w:val="32"/>
          <w:highlight w:val="none"/>
          <w:lang w:val="en-US" w:eastAsia="zh-CN"/>
        </w:rPr>
        <w:t>中</w:t>
      </w:r>
      <w:r>
        <w:rPr>
          <w:rFonts w:hint="eastAsia" w:ascii="仿宋_GB2312" w:hAnsi="仿宋" w:eastAsia="仿宋_GB2312" w:cs="Times New Roman"/>
          <w:color w:val="auto"/>
          <w:sz w:val="32"/>
          <w:szCs w:val="32"/>
          <w:highlight w:val="none"/>
        </w:rPr>
        <w:t>各类场景下各业务类型的装移机施工、物料、设备</w:t>
      </w:r>
      <w:r>
        <w:rPr>
          <w:rFonts w:hint="eastAsia" w:ascii="仿宋_GB2312" w:hAnsi="仿宋" w:eastAsia="仿宋_GB2312" w:cs="Times New Roman"/>
          <w:color w:val="auto"/>
          <w:sz w:val="32"/>
          <w:szCs w:val="32"/>
          <w:highlight w:val="none"/>
          <w:lang w:val="en-US" w:eastAsia="zh-CN"/>
        </w:rPr>
        <w:t>等</w:t>
      </w:r>
      <w:r>
        <w:rPr>
          <w:rFonts w:hint="eastAsia" w:ascii="仿宋_GB2312" w:hAnsi="仿宋" w:eastAsia="仿宋_GB2312" w:cs="Times New Roman"/>
          <w:color w:val="auto"/>
          <w:sz w:val="32"/>
          <w:szCs w:val="32"/>
          <w:highlight w:val="none"/>
        </w:rPr>
        <w:t>费用</w:t>
      </w:r>
      <w:r>
        <w:rPr>
          <w:rFonts w:hint="eastAsia" w:ascii="仿宋_GB2312" w:hAnsi="仿宋" w:eastAsia="仿宋_GB2312" w:cs="Times New Roman"/>
          <w:color w:val="auto"/>
          <w:sz w:val="32"/>
          <w:szCs w:val="32"/>
          <w:highlight w:val="none"/>
          <w:lang w:val="en-US" w:eastAsia="zh-CN"/>
        </w:rPr>
        <w:t>进行测算并提供建议</w:t>
      </w:r>
      <w:r>
        <w:rPr>
          <w:rFonts w:hint="eastAsia" w:ascii="仿宋_GB2312" w:hAnsi="仿宋" w:eastAsia="仿宋_GB2312" w:cs="Times New Roman"/>
          <w:color w:val="auto"/>
          <w:sz w:val="32"/>
          <w:szCs w:val="32"/>
          <w:highlight w:val="none"/>
        </w:rPr>
        <w:t>。</w:t>
      </w:r>
    </w:p>
    <w:p w14:paraId="354C66A5">
      <w:pPr>
        <w:numPr>
          <w:ilvl w:val="0"/>
          <w:numId w:val="7"/>
        </w:numPr>
        <w:tabs>
          <w:tab w:val="left" w:pos="900"/>
        </w:tabs>
        <w:spacing w:line="360" w:lineRule="auto"/>
        <w:ind w:left="0" w:firstLine="640" w:firstLineChars="200"/>
        <w:rPr>
          <w:rFonts w:ascii="仿宋_GB2312" w:hAnsi="仿宋" w:eastAsia="仿宋_GB2312" w:cs="Times New Roman"/>
          <w:color w:val="auto"/>
          <w:sz w:val="32"/>
          <w:szCs w:val="32"/>
          <w:highlight w:val="none"/>
        </w:rPr>
      </w:pPr>
      <w:r>
        <w:rPr>
          <w:rFonts w:hint="eastAsia" w:ascii="仿宋_GB2312" w:hAnsi="仿宋" w:eastAsia="仿宋_GB2312" w:cs="Times New Roman"/>
          <w:color w:val="auto"/>
          <w:sz w:val="32"/>
          <w:szCs w:val="32"/>
          <w:highlight w:val="none"/>
        </w:rPr>
        <w:t>网络用电、站点租赁及外部网络资源租赁合同等，应严格实行双人及以上谈判，各</w:t>
      </w:r>
      <w:r>
        <w:rPr>
          <w:rFonts w:hint="eastAsia" w:ascii="仿宋_GB2312" w:hAnsi="仿宋" w:eastAsia="仿宋_GB2312" w:cs="Times New Roman"/>
          <w:color w:val="auto"/>
          <w:sz w:val="32"/>
          <w:szCs w:val="32"/>
          <w:highlight w:val="none"/>
          <w:lang w:val="en-US" w:eastAsia="zh-CN"/>
        </w:rPr>
        <w:t>地市</w:t>
      </w:r>
      <w:r>
        <w:rPr>
          <w:rFonts w:hint="eastAsia" w:ascii="仿宋_GB2312" w:hAnsi="仿宋" w:eastAsia="仿宋_GB2312" w:cs="Times New Roman"/>
          <w:color w:val="auto"/>
          <w:sz w:val="32"/>
          <w:szCs w:val="32"/>
          <w:highlight w:val="none"/>
        </w:rPr>
        <w:t>公司应</w:t>
      </w:r>
      <w:r>
        <w:rPr>
          <w:rFonts w:hint="eastAsia" w:ascii="仿宋_GB2312" w:hAnsi="仿宋" w:eastAsia="仿宋_GB2312" w:cs="Times New Roman"/>
          <w:color w:val="auto"/>
          <w:sz w:val="32"/>
          <w:szCs w:val="32"/>
          <w:highlight w:val="none"/>
          <w:lang w:val="en-US" w:eastAsia="zh-CN"/>
        </w:rPr>
        <w:t>根据省公司要求，落实</w:t>
      </w:r>
      <w:r>
        <w:rPr>
          <w:rFonts w:hint="eastAsia" w:ascii="仿宋_GB2312" w:hAnsi="仿宋" w:eastAsia="仿宋_GB2312" w:cs="Times New Roman"/>
          <w:color w:val="auto"/>
          <w:sz w:val="32"/>
          <w:szCs w:val="32"/>
          <w:highlight w:val="none"/>
        </w:rPr>
        <w:t>单价分级审批管理要求（直供电电价除外），完善合同单价和涨幅管控的分级审批管理机制，保证合同内容真实合规。</w:t>
      </w:r>
    </w:p>
    <w:p w14:paraId="1855F563">
      <w:pPr>
        <w:numPr>
          <w:ilvl w:val="0"/>
          <w:numId w:val="7"/>
        </w:numPr>
        <w:tabs>
          <w:tab w:val="left" w:pos="900"/>
        </w:tabs>
        <w:spacing w:line="360" w:lineRule="auto"/>
        <w:ind w:left="0" w:firstLine="640" w:firstLineChars="200"/>
        <w:rPr>
          <w:rFonts w:ascii="仿宋_GB2312" w:hAnsi="仿宋" w:eastAsia="仿宋_GB2312" w:cs="Times New Roman"/>
          <w:color w:val="auto"/>
          <w:sz w:val="32"/>
          <w:szCs w:val="32"/>
          <w:highlight w:val="none"/>
        </w:rPr>
      </w:pPr>
      <w:r>
        <w:rPr>
          <w:rFonts w:hint="eastAsia" w:ascii="仿宋_GB2312" w:hAnsi="仿宋" w:eastAsia="仿宋_GB2312" w:cs="Times New Roman"/>
          <w:color w:val="auto"/>
          <w:sz w:val="32"/>
          <w:szCs w:val="32"/>
          <w:highlight w:val="none"/>
        </w:rPr>
        <w:t>在规划新建站点时，各</w:t>
      </w:r>
      <w:r>
        <w:rPr>
          <w:rFonts w:hint="eastAsia" w:ascii="仿宋_GB2312" w:hAnsi="仿宋" w:eastAsia="仿宋_GB2312" w:cs="Times New Roman"/>
          <w:color w:val="auto"/>
          <w:sz w:val="32"/>
          <w:szCs w:val="32"/>
          <w:highlight w:val="none"/>
          <w:lang w:val="en-US" w:eastAsia="zh-CN"/>
        </w:rPr>
        <w:t>地</w:t>
      </w:r>
      <w:r>
        <w:rPr>
          <w:rFonts w:hint="eastAsia" w:ascii="仿宋_GB2312" w:hAnsi="仿宋" w:eastAsia="仿宋_GB2312" w:cs="Times New Roman"/>
          <w:color w:val="auto"/>
          <w:sz w:val="32"/>
          <w:szCs w:val="32"/>
          <w:highlight w:val="none"/>
        </w:rPr>
        <w:t>网络</w:t>
      </w:r>
      <w:r>
        <w:rPr>
          <w:rFonts w:hint="eastAsia" w:ascii="仿宋_GB2312" w:hAnsi="仿宋" w:eastAsia="仿宋_GB2312" w:cs="Times New Roman"/>
          <w:color w:val="auto"/>
          <w:sz w:val="32"/>
          <w:szCs w:val="32"/>
          <w:highlight w:val="none"/>
          <w:lang w:val="en-US" w:eastAsia="zh-CN"/>
        </w:rPr>
        <w:t>部门</w:t>
      </w:r>
      <w:r>
        <w:rPr>
          <w:rFonts w:hint="eastAsia" w:ascii="仿宋_GB2312" w:hAnsi="仿宋" w:eastAsia="仿宋_GB2312" w:cs="Times New Roman"/>
          <w:color w:val="auto"/>
          <w:sz w:val="32"/>
          <w:szCs w:val="32"/>
          <w:highlight w:val="none"/>
        </w:rPr>
        <w:t>应当参与制定相应的分级审批制度，明确</w:t>
      </w:r>
      <w:r>
        <w:rPr>
          <w:rFonts w:hint="eastAsia" w:ascii="仿宋_GB2312" w:hAnsi="仿宋" w:eastAsia="仿宋_GB2312" w:cs="Times New Roman"/>
          <w:color w:val="000000" w:themeColor="text1"/>
          <w:sz w:val="32"/>
          <w:szCs w:val="32"/>
          <w:highlight w:val="none"/>
          <w14:textFill>
            <w14:solidFill>
              <w14:schemeClr w14:val="tx1"/>
            </w14:solidFill>
          </w14:textFill>
        </w:rPr>
        <w:t>在新建站点规划阶段</w:t>
      </w:r>
      <w:r>
        <w:rPr>
          <w:rFonts w:hint="eastAsia" w:ascii="仿宋_GB2312" w:hAnsi="仿宋" w:eastAsia="仿宋_GB2312" w:cs="Times New Roman"/>
          <w:color w:val="auto"/>
          <w:sz w:val="32"/>
          <w:szCs w:val="32"/>
          <w:highlight w:val="none"/>
        </w:rPr>
        <w:t>租赁、用电合同价格分级审批流程。</w:t>
      </w:r>
    </w:p>
    <w:p w14:paraId="6382D980">
      <w:pPr>
        <w:numPr>
          <w:ilvl w:val="0"/>
          <w:numId w:val="7"/>
        </w:numPr>
        <w:tabs>
          <w:tab w:val="left" w:pos="900"/>
        </w:tabs>
        <w:spacing w:line="360" w:lineRule="auto"/>
        <w:ind w:left="0" w:firstLine="640" w:firstLineChars="200"/>
        <w:rPr>
          <w:rFonts w:ascii="仿宋_GB2312" w:hAnsi="仿宋" w:eastAsia="仿宋_GB2312" w:cs="Times New Roman"/>
          <w:color w:val="auto"/>
          <w:sz w:val="32"/>
          <w:szCs w:val="32"/>
          <w:highlight w:val="none"/>
        </w:rPr>
      </w:pPr>
      <w:r>
        <w:rPr>
          <w:rFonts w:hint="eastAsia" w:ascii="仿宋_GB2312" w:hAnsi="仿宋" w:eastAsia="仿宋_GB2312" w:cs="Times New Roman"/>
          <w:color w:val="auto"/>
          <w:sz w:val="32"/>
          <w:szCs w:val="32"/>
          <w:highlight w:val="none"/>
        </w:rPr>
        <w:t>由合同签署责任部门根据谈判决策结果签订合同，合同签订后由各业务执行单位接收，并跟进合同执行。</w:t>
      </w:r>
    </w:p>
    <w:p w14:paraId="341DB6D8">
      <w:pPr>
        <w:numPr>
          <w:ilvl w:val="0"/>
          <w:numId w:val="7"/>
        </w:numPr>
        <w:tabs>
          <w:tab w:val="left" w:pos="900"/>
        </w:tabs>
        <w:spacing w:line="360" w:lineRule="auto"/>
        <w:ind w:left="0" w:firstLine="640" w:firstLineChars="200"/>
        <w:rPr>
          <w:rFonts w:ascii="仿宋_GB2312" w:hAnsi="仿宋" w:eastAsia="仿宋_GB2312" w:cs="Times New Roman"/>
          <w:color w:val="auto"/>
          <w:sz w:val="32"/>
          <w:szCs w:val="32"/>
          <w:highlight w:val="none"/>
        </w:rPr>
      </w:pPr>
      <w:r>
        <w:rPr>
          <w:rFonts w:hint="eastAsia" w:ascii="仿宋_GB2312" w:hAnsi="仿宋" w:eastAsia="仿宋_GB2312" w:cs="Times New Roman"/>
          <w:color w:val="auto"/>
          <w:sz w:val="32"/>
          <w:szCs w:val="32"/>
          <w:highlight w:val="none"/>
        </w:rPr>
        <w:t>各</w:t>
      </w:r>
      <w:r>
        <w:rPr>
          <w:rFonts w:hint="eastAsia" w:ascii="仿宋_GB2312" w:hAnsi="仿宋" w:eastAsia="仿宋_GB2312" w:cs="Times New Roman"/>
          <w:color w:val="auto"/>
          <w:sz w:val="32"/>
          <w:szCs w:val="32"/>
          <w:highlight w:val="none"/>
          <w:lang w:val="en-US" w:eastAsia="zh-CN"/>
        </w:rPr>
        <w:t>地市</w:t>
      </w:r>
      <w:r>
        <w:rPr>
          <w:rFonts w:hint="eastAsia" w:ascii="仿宋_GB2312" w:hAnsi="仿宋" w:eastAsia="仿宋_GB2312" w:cs="Times New Roman"/>
          <w:color w:val="auto"/>
          <w:sz w:val="32"/>
          <w:szCs w:val="32"/>
          <w:highlight w:val="none"/>
        </w:rPr>
        <w:t>应当根据法务部门的要求，使用相关业务合同示范文本,约定包括合同期限、合同单价、双方权利义务、违约责任、维护界面等条款，防范合同出现错漏等潜在风险。其中，用电合同要明确供电类型，站点租赁与外部网络资源租赁合同要明确租赁标的，家客和集客装移机服务合同要明确服务事项、服务要求等。</w:t>
      </w:r>
    </w:p>
    <w:p w14:paraId="156314BA">
      <w:pPr>
        <w:numPr>
          <w:ilvl w:val="0"/>
          <w:numId w:val="7"/>
        </w:numPr>
        <w:tabs>
          <w:tab w:val="left" w:pos="900"/>
        </w:tabs>
        <w:spacing w:line="360" w:lineRule="auto"/>
        <w:ind w:left="0" w:firstLine="640" w:firstLineChars="200"/>
        <w:rPr>
          <w:rFonts w:hint="eastAsia" w:ascii="仿宋_GB2312" w:hAnsi="仿宋" w:eastAsia="仿宋_GB2312" w:cs="Times New Roman"/>
          <w:color w:val="auto"/>
          <w:sz w:val="32"/>
          <w:szCs w:val="32"/>
          <w:highlight w:val="none"/>
        </w:rPr>
      </w:pPr>
      <w:r>
        <w:rPr>
          <w:rFonts w:hint="eastAsia" w:ascii="仿宋_GB2312" w:hAnsi="仿宋" w:eastAsia="仿宋_GB2312" w:cs="Times New Roman"/>
          <w:color w:val="auto"/>
          <w:sz w:val="32"/>
          <w:szCs w:val="32"/>
          <w:highlight w:val="none"/>
        </w:rPr>
        <w:t>与工程部门做好新入网站点或网元的关系承接。网络成本执行单位应将相关资料验收纳入站点或网元接维验收工作中，对相关资料的完整性和真实性进行核实，在确认资料完整和符合规定后通过验收。新建站点或设备入网前，应优先考虑低成本、可持续的运营方案。</w:t>
      </w:r>
    </w:p>
    <w:p w14:paraId="55EBC9CB">
      <w:pPr>
        <w:numPr>
          <w:ilvl w:val="0"/>
          <w:numId w:val="7"/>
        </w:numPr>
        <w:tabs>
          <w:tab w:val="left" w:pos="900"/>
        </w:tabs>
        <w:spacing w:line="360" w:lineRule="auto"/>
        <w:ind w:left="0" w:firstLine="640" w:firstLineChars="200"/>
        <w:rPr>
          <w:rFonts w:hint="eastAsia" w:ascii="仿宋_GB2312" w:hAnsi="仿宋" w:eastAsia="仿宋_GB2312" w:cs="Times New Roman"/>
          <w:color w:val="auto"/>
          <w:sz w:val="32"/>
          <w:szCs w:val="32"/>
          <w:highlight w:val="none"/>
        </w:rPr>
      </w:pPr>
      <w:r>
        <w:rPr>
          <w:rFonts w:hint="eastAsia" w:ascii="仿宋_GB2312" w:hAnsi="仿宋" w:eastAsia="仿宋_GB2312" w:cs="Times New Roman"/>
          <w:color w:val="auto"/>
          <w:sz w:val="32"/>
          <w:szCs w:val="32"/>
          <w:highlight w:val="none"/>
        </w:rPr>
        <w:t>各</w:t>
      </w:r>
      <w:r>
        <w:rPr>
          <w:rFonts w:hint="eastAsia" w:ascii="仿宋_GB2312" w:hAnsi="仿宋" w:eastAsia="仿宋_GB2312" w:cs="Times New Roman"/>
          <w:color w:val="auto"/>
          <w:sz w:val="32"/>
          <w:szCs w:val="32"/>
          <w:highlight w:val="none"/>
          <w:lang w:val="en-US" w:eastAsia="zh-CN"/>
        </w:rPr>
        <w:t>地市</w:t>
      </w:r>
      <w:r>
        <w:rPr>
          <w:rFonts w:hint="eastAsia" w:ascii="仿宋_GB2312" w:hAnsi="仿宋" w:eastAsia="仿宋_GB2312" w:cs="Times New Roman"/>
          <w:color w:val="auto"/>
          <w:sz w:val="32"/>
          <w:szCs w:val="32"/>
          <w:highlight w:val="none"/>
        </w:rPr>
        <w:t>应规范网络成本的合同续签或终止管理。如仍有相关需求，网络成本执行单位应在服务到期前及时开展合同续签工作，避免合同倒签，合同签订后应及时在成本管理系统中进行相关合同信息同步更新；如无相关需求，网络成本执行单位应及时终止合同，清算相关费用、及时回收相关设备，并在相关系统中（合同管理系统、综资系统、成本管理系统、租赁核算平台等）更新信息避免支付无效费用</w:t>
      </w:r>
      <w:r>
        <w:rPr>
          <w:rFonts w:hint="eastAsia" w:ascii="仿宋_GB2312" w:hAnsi="仿宋" w:eastAsia="仿宋_GB2312" w:cs="Times New Roman"/>
          <w:color w:val="auto"/>
          <w:sz w:val="32"/>
          <w:szCs w:val="32"/>
          <w:highlight w:val="none"/>
          <w:lang w:eastAsia="zh-CN"/>
        </w:rPr>
        <w:t>。</w:t>
      </w:r>
      <w:r>
        <w:rPr>
          <w:rFonts w:hint="eastAsia" w:ascii="仿宋_GB2312" w:hAnsi="仿宋" w:eastAsia="仿宋_GB2312" w:cs="Times New Roman"/>
          <w:color w:val="000000" w:themeColor="text1"/>
          <w:sz w:val="32"/>
          <w:szCs w:val="32"/>
          <w:highlight w:val="none"/>
          <w:lang w:eastAsia="zh-CN"/>
          <w14:textFill>
            <w14:solidFill>
              <w14:schemeClr w14:val="tx1"/>
            </w14:solidFill>
          </w14:textFill>
        </w:rPr>
        <w:t>原则上网络电费缴费期始不早于当期对应空间资源入网时间，站点租赁费缴费期始不早于工程立项时间。网络电费缴费终期不得晚于资源退网时间，网络电费清算工作应在全量设备、设施退网时间后1个月内启动；站点租赁费清算工作应在全量设备、设施退网后1个月内启动，如站点租赁费合同期终晚于设备退网时间，需积极与业主开展谈判，争取签署合同提前终止协议，后续按照协议执行。</w:t>
      </w:r>
      <w:r>
        <w:rPr>
          <w:rFonts w:hint="eastAsia" w:ascii="仿宋_GB2312" w:hAnsi="仿宋" w:eastAsia="仿宋_GB2312" w:cs="Times New Roman"/>
          <w:color w:val="auto"/>
          <w:sz w:val="32"/>
          <w:szCs w:val="32"/>
          <w:highlight w:val="none"/>
        </w:rPr>
        <w:t>若涉及已付费用追回，则及时开展追回工作，对存在纠纷或无法追回的费用提交公司决策或法律事务部门处理。</w:t>
      </w:r>
    </w:p>
    <w:p w14:paraId="1ED79A66">
      <w:pPr>
        <w:rPr>
          <w:rFonts w:hint="eastAsia" w:ascii="仿宋_GB2312" w:hAnsi="仿宋" w:eastAsia="仿宋_GB2312" w:cs="Times New Roman"/>
          <w:color w:val="auto"/>
          <w:sz w:val="32"/>
          <w:szCs w:val="32"/>
          <w:highlight w:val="none"/>
        </w:rPr>
      </w:pPr>
    </w:p>
    <w:p w14:paraId="55836331">
      <w:pPr>
        <w:keepNext/>
        <w:keepLines/>
        <w:numPr>
          <w:ilvl w:val="0"/>
          <w:numId w:val="1"/>
        </w:numPr>
        <w:spacing w:before="340" w:after="330" w:line="360" w:lineRule="auto"/>
        <w:ind w:left="0" w:firstLine="0"/>
        <w:jc w:val="center"/>
        <w:outlineLvl w:val="0"/>
        <w:rPr>
          <w:rFonts w:hint="eastAsia" w:ascii="黑体" w:hAnsi="黑体" w:eastAsia="黑体" w:cs="Times New Roman"/>
          <w:bCs/>
          <w:color w:val="000000" w:themeColor="text1"/>
          <w:kern w:val="44"/>
          <w:sz w:val="36"/>
          <w:szCs w:val="36"/>
          <w:highlight w:val="none"/>
          <w14:textFill>
            <w14:solidFill>
              <w14:schemeClr w14:val="tx1"/>
            </w14:solidFill>
          </w14:textFill>
        </w:rPr>
      </w:pPr>
      <w:r>
        <w:rPr>
          <w:rFonts w:hint="eastAsia" w:ascii="黑体" w:hAnsi="黑体" w:eastAsia="黑体" w:cs="Times New Roman"/>
          <w:bCs/>
          <w:color w:val="000000" w:themeColor="text1"/>
          <w:kern w:val="44"/>
          <w:sz w:val="36"/>
          <w:szCs w:val="36"/>
          <w:highlight w:val="none"/>
          <w14:textFill>
            <w14:solidFill>
              <w14:schemeClr w14:val="tx1"/>
            </w14:solidFill>
          </w14:textFill>
        </w:rPr>
        <w:t xml:space="preserve"> </w:t>
      </w:r>
      <w:bookmarkStart w:id="23" w:name="_Toc17848"/>
      <w:r>
        <w:rPr>
          <w:rFonts w:hint="eastAsia" w:ascii="黑体" w:hAnsi="黑体" w:eastAsia="黑体" w:cs="Times New Roman"/>
          <w:bCs/>
          <w:color w:val="000000" w:themeColor="text1"/>
          <w:kern w:val="44"/>
          <w:sz w:val="36"/>
          <w:szCs w:val="36"/>
          <w:highlight w:val="none"/>
          <w14:textFill>
            <w14:solidFill>
              <w14:schemeClr w14:val="tx1"/>
            </w14:solidFill>
          </w14:textFill>
        </w:rPr>
        <w:t>网络成本生命周期管理</w:t>
      </w:r>
      <w:bookmarkEnd w:id="23"/>
    </w:p>
    <w:p w14:paraId="235C688F">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14:textFill>
            <w14:solidFill>
              <w14:schemeClr w14:val="tx1"/>
            </w14:solidFill>
          </w14:textFill>
        </w:rPr>
        <w:t>网络成本综合管理部门及各专业运维成本管理单位要按照“事前全面审核预算、事中严格把控执行、事后精准效益评估”的原则建立网络成本管控机制，在确保网络卓越品质的基础上，做好网络成本“专业化、精细化”管理。</w:t>
      </w:r>
    </w:p>
    <w:p w14:paraId="64E66898">
      <w:pPr>
        <w:tabs>
          <w:tab w:val="left" w:pos="900"/>
        </w:tabs>
        <w:spacing w:line="360" w:lineRule="auto"/>
        <w:jc w:val="center"/>
        <w:outlineLvl w:val="1"/>
        <w:rPr>
          <w:rFonts w:hint="eastAsia" w:ascii="楷体" w:hAnsi="楷体" w:eastAsia="楷体" w:cs="楷体"/>
          <w:b/>
          <w:bCs/>
          <w:color w:val="000000" w:themeColor="text1"/>
          <w:sz w:val="32"/>
          <w:szCs w:val="32"/>
          <w:highlight w:val="none"/>
          <w14:textFill>
            <w14:solidFill>
              <w14:schemeClr w14:val="tx1"/>
            </w14:solidFill>
          </w14:textFill>
        </w:rPr>
      </w:pPr>
      <w:bookmarkStart w:id="24" w:name="_Toc15333"/>
      <w:bookmarkStart w:id="25" w:name="_Toc18002"/>
      <w:r>
        <w:rPr>
          <w:rFonts w:hint="eastAsia" w:ascii="楷体" w:hAnsi="楷体" w:eastAsia="楷体" w:cs="楷体"/>
          <w:b/>
          <w:bCs/>
          <w:color w:val="000000" w:themeColor="text1"/>
          <w:sz w:val="32"/>
          <w:szCs w:val="32"/>
          <w:highlight w:val="none"/>
          <w14:textFill>
            <w14:solidFill>
              <w14:schemeClr w14:val="tx1"/>
            </w14:solidFill>
          </w14:textFill>
        </w:rPr>
        <w:t>第一节  预算管理</w:t>
      </w:r>
      <w:bookmarkEnd w:id="24"/>
      <w:bookmarkEnd w:id="25"/>
    </w:p>
    <w:p w14:paraId="4BF09CCF">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省</w:t>
      </w:r>
      <w:r>
        <w:rPr>
          <w:rFonts w:hint="eastAsia" w:ascii="仿宋_GB2312" w:hAnsi="仿宋" w:eastAsia="仿宋_GB2312" w:cs="Times New Roman"/>
          <w:color w:val="000000" w:themeColor="text1"/>
          <w:sz w:val="32"/>
          <w:szCs w:val="32"/>
          <w:highlight w:val="none"/>
          <w14:textFill>
            <w14:solidFill>
              <w14:schemeClr w14:val="tx1"/>
            </w14:solidFill>
          </w14:textFill>
        </w:rPr>
        <w:t>公司将网络成本纳入全面预算管理，每年由</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省</w:t>
      </w:r>
      <w:r>
        <w:rPr>
          <w:rFonts w:hint="eastAsia" w:ascii="仿宋_GB2312" w:hAnsi="仿宋" w:eastAsia="仿宋_GB2312" w:cs="Times New Roman"/>
          <w:color w:val="000000" w:themeColor="text1"/>
          <w:sz w:val="32"/>
          <w:szCs w:val="32"/>
          <w:highlight w:val="none"/>
          <w14:textFill>
            <w14:solidFill>
              <w14:schemeClr w14:val="tx1"/>
            </w14:solidFill>
          </w14:textFill>
        </w:rPr>
        <w:t>公司全面预算管理委员会审议、确定网络成本预算金额及管控模式。各</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地市公司</w:t>
      </w:r>
      <w:r>
        <w:rPr>
          <w:rFonts w:hint="eastAsia" w:ascii="仿宋_GB2312" w:hAnsi="仿宋" w:eastAsia="仿宋_GB2312" w:cs="Times New Roman"/>
          <w:color w:val="000000" w:themeColor="text1"/>
          <w:sz w:val="32"/>
          <w:szCs w:val="32"/>
          <w:highlight w:val="none"/>
          <w14:textFill>
            <w14:solidFill>
              <w14:schemeClr w14:val="tx1"/>
            </w14:solidFill>
          </w14:textFill>
        </w:rPr>
        <w:t>按照全面预算管理流程及职责分工，组织本公司网络成本预算编制、审核、上报、下达、执行监控以及预算调整等工作。</w:t>
      </w:r>
    </w:p>
    <w:p w14:paraId="23151CA6">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省公司</w:t>
      </w:r>
      <w:r>
        <w:rPr>
          <w:rFonts w:hint="eastAsia" w:ascii="仿宋_GB2312" w:hAnsi="仿宋" w:eastAsia="仿宋_GB2312" w:cs="Times New Roman"/>
          <w:color w:val="000000" w:themeColor="text1"/>
          <w:sz w:val="32"/>
          <w:szCs w:val="32"/>
          <w:highlight w:val="none"/>
          <w14:textFill>
            <w14:solidFill>
              <w14:schemeClr w14:val="tx1"/>
            </w14:solidFill>
          </w14:textFill>
        </w:rPr>
        <w:t>财务部启动次年预算编制后，</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各地市公司网络部需</w:t>
      </w:r>
      <w:r>
        <w:rPr>
          <w:rFonts w:hint="eastAsia" w:ascii="仿宋_GB2312" w:hAnsi="仿宋" w:eastAsia="仿宋_GB2312" w:cs="Times New Roman"/>
          <w:color w:val="000000" w:themeColor="text1"/>
          <w:sz w:val="32"/>
          <w:szCs w:val="32"/>
          <w:highlight w:val="none"/>
          <w14:textFill>
            <w14:solidFill>
              <w14:schemeClr w14:val="tx1"/>
            </w14:solidFill>
          </w14:textFill>
        </w:rPr>
        <w:t>配合本单位财务部门，按照</w:t>
      </w:r>
      <w:r>
        <w:rPr>
          <w:rFonts w:hint="eastAsia" w:ascii="仿宋_GB2312" w:hAnsi="仿宋" w:eastAsia="仿宋_GB2312" w:cs="Times New Roman"/>
          <w:color w:val="000000" w:themeColor="text1"/>
          <w:sz w:val="32"/>
          <w:szCs w:val="32"/>
          <w:highlight w:val="none"/>
          <w:lang w:eastAsia="zh-CN"/>
          <w14:textFill>
            <w14:solidFill>
              <w14:schemeClr w14:val="tx1"/>
            </w14:solidFill>
          </w14:textFill>
        </w:rPr>
        <w:t>省</w:t>
      </w:r>
      <w:r>
        <w:rPr>
          <w:rFonts w:hint="eastAsia" w:ascii="仿宋_GB2312" w:hAnsi="仿宋" w:eastAsia="仿宋_GB2312" w:cs="Times New Roman"/>
          <w:color w:val="000000" w:themeColor="text1"/>
          <w:sz w:val="32"/>
          <w:szCs w:val="32"/>
          <w:highlight w:val="none"/>
          <w14:textFill>
            <w14:solidFill>
              <w14:schemeClr w14:val="tx1"/>
            </w14:solidFill>
          </w14:textFill>
        </w:rPr>
        <w:t>公司预算编制要求，组织各专业运维成本管理单位、网络成本执行单位进行网络成本整体预算申报。</w:t>
      </w:r>
    </w:p>
    <w:p w14:paraId="33EE5AB0">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省公司网络部</w:t>
      </w:r>
      <w:r>
        <w:rPr>
          <w:rFonts w:hint="eastAsia" w:ascii="仿宋_GB2312" w:hAnsi="仿宋" w:eastAsia="仿宋_GB2312" w:cs="Times New Roman"/>
          <w:color w:val="000000" w:themeColor="text1"/>
          <w:sz w:val="32"/>
          <w:szCs w:val="32"/>
          <w:highlight w:val="none"/>
          <w14:textFill>
            <w14:solidFill>
              <w14:schemeClr w14:val="tx1"/>
            </w14:solidFill>
          </w14:textFill>
        </w:rPr>
        <w:t>配合财务部，对各</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地市</w:t>
      </w:r>
      <w:r>
        <w:rPr>
          <w:rFonts w:hint="eastAsia" w:ascii="仿宋_GB2312" w:hAnsi="仿宋" w:eastAsia="仿宋_GB2312" w:cs="Times New Roman"/>
          <w:color w:val="000000" w:themeColor="text1"/>
          <w:sz w:val="32"/>
          <w:szCs w:val="32"/>
          <w:highlight w:val="none"/>
          <w14:textFill>
            <w14:solidFill>
              <w14:schemeClr w14:val="tx1"/>
            </w14:solidFill>
          </w14:textFill>
        </w:rPr>
        <w:t>上报的网络成本整体预算情况进行审核</w:t>
      </w:r>
      <w:r>
        <w:rPr>
          <w:rFonts w:hint="eastAsia" w:ascii="仿宋_GB2312" w:hAnsi="仿宋" w:eastAsia="仿宋_GB2312" w:cs="Times New Roman"/>
          <w:color w:val="000000" w:themeColor="text1"/>
          <w:sz w:val="32"/>
          <w:szCs w:val="32"/>
          <w:highlight w:val="none"/>
          <w:lang w:eastAsia="zh-CN"/>
          <w14:textFill>
            <w14:solidFill>
              <w14:schemeClr w14:val="tx1"/>
            </w14:solidFill>
          </w14:textFill>
        </w:rPr>
        <w:t>。</w:t>
      </w:r>
    </w:p>
    <w:p w14:paraId="2CF23844">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省</w:t>
      </w:r>
      <w:r>
        <w:rPr>
          <w:rFonts w:hint="eastAsia" w:ascii="仿宋_GB2312" w:hAnsi="仿宋" w:eastAsia="仿宋_GB2312" w:cs="Times New Roman"/>
          <w:color w:val="000000" w:themeColor="text1"/>
          <w:sz w:val="32"/>
          <w:szCs w:val="32"/>
          <w:highlight w:val="none"/>
          <w14:textFill>
            <w14:solidFill>
              <w14:schemeClr w14:val="tx1"/>
            </w14:solidFill>
          </w14:textFill>
        </w:rPr>
        <w:t>公司整体预算目标下达后，</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省公司网络部</w:t>
      </w:r>
      <w:r>
        <w:rPr>
          <w:rFonts w:hint="eastAsia" w:ascii="仿宋_GB2312" w:hAnsi="仿宋" w:eastAsia="仿宋_GB2312" w:cs="Times New Roman"/>
          <w:color w:val="000000" w:themeColor="text1"/>
          <w:sz w:val="32"/>
          <w:szCs w:val="32"/>
          <w:highlight w:val="none"/>
          <w14:textFill>
            <w14:solidFill>
              <w14:schemeClr w14:val="tx1"/>
            </w14:solidFill>
          </w14:textFill>
        </w:rPr>
        <w:t>结合各</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地市</w:t>
      </w:r>
      <w:r>
        <w:rPr>
          <w:rFonts w:hint="eastAsia" w:ascii="仿宋_GB2312" w:hAnsi="仿宋" w:eastAsia="仿宋_GB2312" w:cs="Times New Roman"/>
          <w:color w:val="000000" w:themeColor="text1"/>
          <w:sz w:val="32"/>
          <w:szCs w:val="32"/>
          <w:highlight w:val="none"/>
          <w14:textFill>
            <w14:solidFill>
              <w14:schemeClr w14:val="tx1"/>
            </w14:solidFill>
          </w14:textFill>
        </w:rPr>
        <w:t>实际需求及标杆目标，对网络成本整体预算进行分单位分费用分解</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并</w:t>
      </w:r>
      <w:r>
        <w:rPr>
          <w:rFonts w:hint="eastAsia" w:ascii="仿宋_GB2312" w:hAnsi="仿宋" w:eastAsia="仿宋_GB2312" w:cs="Times New Roman"/>
          <w:color w:val="000000" w:themeColor="text1"/>
          <w:sz w:val="32"/>
          <w:szCs w:val="32"/>
          <w:highlight w:val="none"/>
          <w14:textFill>
            <w14:solidFill>
              <w14:schemeClr w14:val="tx1"/>
            </w14:solidFill>
          </w14:textFill>
        </w:rPr>
        <w:t>下发。</w:t>
      </w:r>
    </w:p>
    <w:p w14:paraId="7CE7E800">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14:textFill>
            <w14:solidFill>
              <w14:schemeClr w14:val="tx1"/>
            </w14:solidFill>
          </w14:textFill>
        </w:rPr>
        <w:t>各</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地市网络部参考省公司下发预算，</w:t>
      </w:r>
      <w:r>
        <w:rPr>
          <w:rFonts w:hint="eastAsia" w:ascii="仿宋_GB2312" w:hAnsi="仿宋" w:eastAsia="仿宋_GB2312" w:cs="Times New Roman"/>
          <w:color w:val="000000" w:themeColor="text1"/>
          <w:sz w:val="32"/>
          <w:szCs w:val="32"/>
          <w:highlight w:val="none"/>
          <w14:textFill>
            <w14:solidFill>
              <w14:schemeClr w14:val="tx1"/>
            </w14:solidFill>
          </w14:textFill>
        </w:rPr>
        <w:t>组织</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地市</w:t>
      </w:r>
      <w:r>
        <w:rPr>
          <w:rFonts w:hint="eastAsia" w:ascii="仿宋_GB2312" w:hAnsi="仿宋" w:eastAsia="仿宋_GB2312" w:cs="Times New Roman"/>
          <w:color w:val="000000" w:themeColor="text1"/>
          <w:sz w:val="32"/>
          <w:szCs w:val="32"/>
          <w:highlight w:val="none"/>
          <w14:textFill>
            <w14:solidFill>
              <w14:schemeClr w14:val="tx1"/>
            </w14:solidFill>
          </w14:textFill>
        </w:rPr>
        <w:t>各专业</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班组</w:t>
      </w:r>
      <w:r>
        <w:rPr>
          <w:rFonts w:hint="eastAsia" w:ascii="仿宋_GB2312" w:hAnsi="仿宋" w:eastAsia="仿宋_GB2312" w:cs="Times New Roman"/>
          <w:color w:val="000000" w:themeColor="text1"/>
          <w:sz w:val="32"/>
          <w:szCs w:val="32"/>
          <w:highlight w:val="none"/>
          <w14:textFill>
            <w14:solidFill>
              <w14:schemeClr w14:val="tx1"/>
            </w14:solidFill>
          </w14:textFill>
        </w:rPr>
        <w:t>、</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区县公司</w:t>
      </w:r>
      <w:r>
        <w:rPr>
          <w:rFonts w:hint="eastAsia" w:ascii="仿宋_GB2312" w:hAnsi="仿宋" w:eastAsia="仿宋_GB2312" w:cs="Times New Roman"/>
          <w:color w:val="000000" w:themeColor="text1"/>
          <w:sz w:val="32"/>
          <w:szCs w:val="32"/>
          <w:highlight w:val="none"/>
          <w14:textFill>
            <w14:solidFill>
              <w14:schemeClr w14:val="tx1"/>
            </w14:solidFill>
          </w14:textFill>
        </w:rPr>
        <w:t>，分解形成本单位各级网络成本预算</w:t>
      </w:r>
      <w:r>
        <w:rPr>
          <w:rFonts w:hint="eastAsia" w:ascii="仿宋_GB2312" w:hAnsi="仿宋" w:eastAsia="仿宋_GB2312" w:cs="Times New Roman"/>
          <w:color w:val="000000" w:themeColor="text1"/>
          <w:sz w:val="32"/>
          <w:szCs w:val="32"/>
          <w:highlight w:val="none"/>
          <w:lang w:eastAsia="zh-CN"/>
          <w14:textFill>
            <w14:solidFill>
              <w14:schemeClr w14:val="tx1"/>
            </w14:solidFill>
          </w14:textFill>
        </w:rPr>
        <w:t>，</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其中网络七费总额不得突破省公司下发额度，七费内部之间可以根据实际需求、经省公司对应费用管理员审核同意后，由地市预算管理员提交省公司网络部集中管理，分解后的预算值作为日常预算执行进度跟踪依据</w:t>
      </w:r>
      <w:r>
        <w:rPr>
          <w:rFonts w:hint="eastAsia" w:ascii="仿宋_GB2312" w:hAnsi="仿宋" w:eastAsia="仿宋_GB2312" w:cs="Times New Roman"/>
          <w:color w:val="000000" w:themeColor="text1"/>
          <w:sz w:val="32"/>
          <w:szCs w:val="32"/>
          <w:highlight w:val="none"/>
          <w14:textFill>
            <w14:solidFill>
              <w14:schemeClr w14:val="tx1"/>
            </w14:solidFill>
          </w14:textFill>
        </w:rPr>
        <w:t>。</w:t>
      </w:r>
    </w:p>
    <w:p w14:paraId="4EE8ED53">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lang w:eastAsia="zh-CN"/>
          <w14:textFill>
            <w14:solidFill>
              <w14:schemeClr w14:val="tx1"/>
            </w14:solidFill>
          </w14:textFill>
        </w:rPr>
        <w:t>省</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公司各专业室、</w:t>
      </w:r>
      <w:r>
        <w:rPr>
          <w:rFonts w:hint="eastAsia" w:ascii="仿宋_GB2312" w:hAnsi="仿宋" w:eastAsia="仿宋_GB2312" w:cs="Times New Roman"/>
          <w:color w:val="000000" w:themeColor="text1"/>
          <w:sz w:val="32"/>
          <w:szCs w:val="32"/>
          <w:highlight w:val="none"/>
          <w14:textFill>
            <w14:solidFill>
              <w14:schemeClr w14:val="tx1"/>
            </w14:solidFill>
          </w14:textFill>
        </w:rPr>
        <w:t>各</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地市</w:t>
      </w:r>
      <w:r>
        <w:rPr>
          <w:rFonts w:hint="eastAsia" w:ascii="仿宋_GB2312" w:hAnsi="仿宋" w:eastAsia="仿宋_GB2312" w:cs="Times New Roman"/>
          <w:color w:val="000000" w:themeColor="text1"/>
          <w:sz w:val="32"/>
          <w:szCs w:val="32"/>
          <w:highlight w:val="none"/>
          <w14:textFill>
            <w14:solidFill>
              <w14:schemeClr w14:val="tx1"/>
            </w14:solidFill>
          </w14:textFill>
        </w:rPr>
        <w:t>应按照公司全面预算管理办法规定，对成本费用需求履行预算项目立项申请以及审批流程，在项目申请时应说明项目实施原因、预算金额、主要工作内容等。</w:t>
      </w:r>
    </w:p>
    <w:p w14:paraId="3221E102">
      <w:pPr>
        <w:numPr>
          <w:ilvl w:val="0"/>
          <w:numId w:val="0"/>
        </w:numPr>
        <w:tabs>
          <w:tab w:val="left" w:pos="900"/>
        </w:tabs>
        <w:spacing w:line="360" w:lineRule="auto"/>
        <w:ind w:leftChars="200"/>
        <w:rPr>
          <w:rFonts w:ascii="仿宋_GB2312" w:hAnsi="仿宋" w:eastAsia="仿宋_GB2312" w:cs="Times New Roman"/>
          <w:color w:val="000000" w:themeColor="text1"/>
          <w:sz w:val="32"/>
          <w:szCs w:val="32"/>
          <w:highlight w:val="none"/>
          <w14:textFill>
            <w14:solidFill>
              <w14:schemeClr w14:val="tx1"/>
            </w14:solidFill>
          </w14:textFill>
        </w:rPr>
      </w:pPr>
    </w:p>
    <w:p w14:paraId="7AC24AFC">
      <w:pPr>
        <w:tabs>
          <w:tab w:val="left" w:pos="900"/>
        </w:tabs>
        <w:spacing w:line="360" w:lineRule="auto"/>
        <w:jc w:val="center"/>
        <w:outlineLvl w:val="1"/>
        <w:rPr>
          <w:rFonts w:hint="eastAsia" w:ascii="楷体" w:hAnsi="楷体" w:eastAsia="楷体" w:cs="楷体"/>
          <w:b/>
          <w:bCs/>
          <w:color w:val="000000" w:themeColor="text1"/>
          <w:sz w:val="32"/>
          <w:szCs w:val="32"/>
          <w:highlight w:val="none"/>
          <w14:textFill>
            <w14:solidFill>
              <w14:schemeClr w14:val="tx1"/>
            </w14:solidFill>
          </w14:textFill>
        </w:rPr>
      </w:pPr>
      <w:bookmarkStart w:id="26" w:name="_Toc1167"/>
      <w:bookmarkStart w:id="27" w:name="_Toc16291"/>
      <w:r>
        <w:rPr>
          <w:rFonts w:hint="eastAsia" w:ascii="楷体" w:hAnsi="楷体" w:eastAsia="楷体" w:cs="楷体"/>
          <w:b/>
          <w:bCs/>
          <w:color w:val="000000" w:themeColor="text1"/>
          <w:sz w:val="32"/>
          <w:szCs w:val="32"/>
          <w:highlight w:val="none"/>
          <w14:textFill>
            <w14:solidFill>
              <w14:schemeClr w14:val="tx1"/>
            </w14:solidFill>
          </w14:textFill>
        </w:rPr>
        <w:t>第二节  执行管理</w:t>
      </w:r>
      <w:bookmarkEnd w:id="26"/>
      <w:bookmarkEnd w:id="27"/>
    </w:p>
    <w:p w14:paraId="64A48237">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lang w:eastAsia="zh-CN"/>
          <w14:textFill>
            <w14:solidFill>
              <w14:schemeClr w14:val="tx1"/>
            </w14:solidFill>
          </w14:textFill>
        </w:rPr>
        <w:t>省</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公司各专业室、</w:t>
      </w:r>
      <w:r>
        <w:rPr>
          <w:rFonts w:hint="eastAsia" w:ascii="仿宋_GB2312" w:hAnsi="仿宋" w:eastAsia="仿宋_GB2312" w:cs="Times New Roman"/>
          <w:color w:val="000000" w:themeColor="text1"/>
          <w:sz w:val="32"/>
          <w:szCs w:val="32"/>
          <w:highlight w:val="none"/>
          <w14:textFill>
            <w14:solidFill>
              <w14:schemeClr w14:val="tx1"/>
            </w14:solidFill>
          </w14:textFill>
        </w:rPr>
        <w:t>各</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地市</w:t>
      </w:r>
      <w:r>
        <w:rPr>
          <w:rFonts w:hint="eastAsia" w:ascii="仿宋_GB2312" w:hAnsi="仿宋" w:eastAsia="仿宋_GB2312" w:cs="Times New Roman"/>
          <w:color w:val="000000" w:themeColor="text1"/>
          <w:sz w:val="32"/>
          <w:szCs w:val="32"/>
          <w:highlight w:val="none"/>
          <w14:textFill>
            <w14:solidFill>
              <w14:schemeClr w14:val="tx1"/>
            </w14:solidFill>
          </w14:textFill>
        </w:rPr>
        <w:t>要严格按照</w:t>
      </w:r>
      <w:r>
        <w:rPr>
          <w:rFonts w:hint="eastAsia" w:ascii="仿宋_GB2312" w:hAnsi="仿宋" w:eastAsia="仿宋_GB2312" w:cs="Times New Roman"/>
          <w:color w:val="000000" w:themeColor="text1"/>
          <w:sz w:val="32"/>
          <w:szCs w:val="32"/>
          <w:highlight w:val="none"/>
          <w:lang w:eastAsia="zh-CN"/>
          <w14:textFill>
            <w14:solidFill>
              <w14:schemeClr w14:val="tx1"/>
            </w14:solidFill>
          </w14:textFill>
        </w:rPr>
        <w:t>中国移动</w:t>
      </w:r>
      <w:r>
        <w:rPr>
          <w:rFonts w:hint="eastAsia" w:ascii="仿宋_GB2312" w:hAnsi="仿宋" w:eastAsia="仿宋_GB2312" w:cs="Times New Roman"/>
          <w:color w:val="000000" w:themeColor="text1"/>
          <w:sz w:val="32"/>
          <w:szCs w:val="32"/>
          <w:highlight w:val="none"/>
          <w14:textFill>
            <w14:solidFill>
              <w14:schemeClr w14:val="tx1"/>
            </w14:solidFill>
          </w14:textFill>
        </w:rPr>
        <w:t>网络成本规定的范畴进行项目列支。在执行中应将费用按照对应财务最小科目（如有必要需先进行费用分拆）进行计提和报账，保证财务入账科目的准确性，确保报账合规。</w:t>
      </w:r>
    </w:p>
    <w:p w14:paraId="6F02E5AE">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lang w:eastAsia="zh-CN"/>
          <w14:textFill>
            <w14:solidFill>
              <w14:schemeClr w14:val="tx1"/>
            </w14:solidFill>
          </w14:textFill>
        </w:rPr>
        <w:t>省</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公司各专业室、</w:t>
      </w:r>
      <w:r>
        <w:rPr>
          <w:rFonts w:hint="eastAsia" w:ascii="仿宋_GB2312" w:hAnsi="仿宋" w:eastAsia="仿宋_GB2312" w:cs="Times New Roman"/>
          <w:color w:val="000000" w:themeColor="text1"/>
          <w:sz w:val="32"/>
          <w:szCs w:val="32"/>
          <w:highlight w:val="none"/>
          <w14:textFill>
            <w14:solidFill>
              <w14:schemeClr w14:val="tx1"/>
            </w14:solidFill>
          </w14:textFill>
        </w:rPr>
        <w:t>各</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地市</w:t>
      </w:r>
      <w:r>
        <w:rPr>
          <w:rFonts w:hint="eastAsia" w:ascii="仿宋_GB2312" w:hAnsi="仿宋" w:eastAsia="仿宋_GB2312" w:cs="Times New Roman"/>
          <w:color w:val="000000" w:themeColor="text1"/>
          <w:sz w:val="32"/>
          <w:szCs w:val="32"/>
          <w:highlight w:val="none"/>
          <w14:textFill>
            <w14:solidFill>
              <w14:schemeClr w14:val="tx1"/>
            </w14:solidFill>
          </w14:textFill>
        </w:rPr>
        <w:t>应制定网络成本进度计划，按照财务权责发生制原则严格执行。定期对成本使用情况进行跟踪，设置预算超额红线预警，及时发现费用超支情况，做好预算执行进度管控，确保均衡入账。</w:t>
      </w:r>
    </w:p>
    <w:p w14:paraId="320CC66A">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14:textFill>
            <w14:solidFill>
              <w14:schemeClr w14:val="tx1"/>
            </w14:solidFill>
          </w14:textFill>
        </w:rPr>
        <w:t>服务供应商的费用结算、考核、扣款罚金等应依据服务合同等协议严格执行并留档。根据财务收支管理要求，对外付款应通过财务系统直接支付至供应商账户，不得通过公司员工（站点租赁费中税金垫付除外）、其他代理方转付的方式付款，不得采用现金或现金支票方式支付。</w:t>
      </w:r>
    </w:p>
    <w:p w14:paraId="76C45D7B">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14:textFill>
            <w14:solidFill>
              <w14:schemeClr w14:val="tx1"/>
            </w14:solidFill>
          </w14:textFill>
        </w:rPr>
        <w:t>对于在执行中出现的特殊情况,可根据涉及的金额大小,按照有关流程进行审批或决策，并将相关依据上传至成本管理系统作为稽核依据。</w:t>
      </w:r>
    </w:p>
    <w:p w14:paraId="3E7F08D6">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14:textFill>
            <w14:solidFill>
              <w14:schemeClr w14:val="tx1"/>
            </w14:solidFill>
          </w14:textFill>
        </w:rPr>
        <w:t>各</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地市</w:t>
      </w:r>
      <w:r>
        <w:rPr>
          <w:rFonts w:hint="eastAsia" w:ascii="仿宋_GB2312" w:hAnsi="仿宋" w:eastAsia="仿宋_GB2312" w:cs="Times New Roman"/>
          <w:color w:val="000000" w:themeColor="text1"/>
          <w:sz w:val="32"/>
          <w:szCs w:val="32"/>
          <w:highlight w:val="none"/>
          <w14:textFill>
            <w14:solidFill>
              <w14:schemeClr w14:val="tx1"/>
            </w14:solidFill>
          </w14:textFill>
        </w:rPr>
        <w:t>在执行过程中，如有需突破</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省</w:t>
      </w:r>
      <w:r>
        <w:rPr>
          <w:rFonts w:hint="eastAsia" w:ascii="仿宋_GB2312" w:hAnsi="仿宋" w:eastAsia="仿宋_GB2312" w:cs="Times New Roman"/>
          <w:color w:val="000000" w:themeColor="text1"/>
          <w:sz w:val="32"/>
          <w:szCs w:val="32"/>
          <w:highlight w:val="none"/>
          <w14:textFill>
            <w14:solidFill>
              <w14:schemeClr w14:val="tx1"/>
            </w14:solidFill>
          </w14:textFill>
        </w:rPr>
        <w:t>公司</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年初预算的</w:t>
      </w:r>
      <w:r>
        <w:rPr>
          <w:rFonts w:hint="eastAsia" w:ascii="仿宋_GB2312" w:hAnsi="仿宋" w:eastAsia="仿宋_GB2312" w:cs="Times New Roman"/>
          <w:color w:val="000000" w:themeColor="text1"/>
          <w:sz w:val="32"/>
          <w:szCs w:val="32"/>
          <w:highlight w:val="none"/>
          <w14:textFill>
            <w14:solidFill>
              <w14:schemeClr w14:val="tx1"/>
            </w14:solidFill>
          </w14:textFill>
        </w:rPr>
        <w:t>重大费用调整，应</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上报省网络部审核批准</w:t>
      </w:r>
      <w:r>
        <w:rPr>
          <w:rFonts w:hint="eastAsia" w:ascii="仿宋_GB2312" w:hAnsi="仿宋" w:eastAsia="仿宋_GB2312" w:cs="Times New Roman"/>
          <w:color w:val="000000" w:themeColor="text1"/>
          <w:sz w:val="32"/>
          <w:szCs w:val="32"/>
          <w:highlight w:val="none"/>
          <w14:textFill>
            <w14:solidFill>
              <w14:schemeClr w14:val="tx1"/>
            </w14:solidFill>
          </w14:textFill>
        </w:rPr>
        <w:t>。</w:t>
      </w:r>
    </w:p>
    <w:p w14:paraId="756A2F95">
      <w:pPr>
        <w:numPr>
          <w:ilvl w:val="0"/>
          <w:numId w:val="0"/>
        </w:numPr>
        <w:tabs>
          <w:tab w:val="left" w:pos="900"/>
        </w:tabs>
        <w:spacing w:line="360" w:lineRule="auto"/>
        <w:ind w:leftChars="200"/>
        <w:rPr>
          <w:rFonts w:ascii="仿宋_GB2312" w:hAnsi="仿宋" w:eastAsia="仿宋_GB2312" w:cs="Times New Roman"/>
          <w:color w:val="000000" w:themeColor="text1"/>
          <w:sz w:val="32"/>
          <w:szCs w:val="32"/>
          <w:highlight w:val="none"/>
          <w14:textFill>
            <w14:solidFill>
              <w14:schemeClr w14:val="tx1"/>
            </w14:solidFill>
          </w14:textFill>
        </w:rPr>
      </w:pPr>
    </w:p>
    <w:p w14:paraId="4D2CBEA3">
      <w:pPr>
        <w:tabs>
          <w:tab w:val="left" w:pos="900"/>
        </w:tabs>
        <w:spacing w:line="360" w:lineRule="auto"/>
        <w:jc w:val="center"/>
        <w:outlineLvl w:val="1"/>
        <w:rPr>
          <w:rFonts w:hint="eastAsia" w:ascii="楷体" w:hAnsi="楷体" w:eastAsia="楷体" w:cs="楷体"/>
          <w:b/>
          <w:bCs/>
          <w:color w:val="000000" w:themeColor="text1"/>
          <w:sz w:val="32"/>
          <w:szCs w:val="32"/>
          <w:highlight w:val="none"/>
          <w14:textFill>
            <w14:solidFill>
              <w14:schemeClr w14:val="tx1"/>
            </w14:solidFill>
          </w14:textFill>
        </w:rPr>
      </w:pPr>
      <w:bookmarkStart w:id="28" w:name="_Toc10124"/>
      <w:bookmarkStart w:id="29" w:name="_Toc15883"/>
      <w:r>
        <w:rPr>
          <w:rFonts w:hint="eastAsia" w:ascii="楷体" w:hAnsi="楷体" w:eastAsia="楷体" w:cs="楷体"/>
          <w:b/>
          <w:bCs/>
          <w:color w:val="000000" w:themeColor="text1"/>
          <w:sz w:val="32"/>
          <w:szCs w:val="32"/>
          <w:highlight w:val="none"/>
          <w14:textFill>
            <w14:solidFill>
              <w14:schemeClr w14:val="tx1"/>
            </w14:solidFill>
          </w14:textFill>
        </w:rPr>
        <w:t>第三节  后评估管理</w:t>
      </w:r>
      <w:bookmarkEnd w:id="28"/>
      <w:bookmarkEnd w:id="29"/>
    </w:p>
    <w:p w14:paraId="2977115E">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14:textFill>
            <w14:solidFill>
              <w14:schemeClr w14:val="tx1"/>
            </w14:solidFill>
          </w14:textFill>
        </w:rPr>
        <w:t>网络维修费相关的项目执行完成后，网络维护单位应对该项目费用使用情况、达成效果进行后评估。其他费用可根据实际情况需要开展相关费用后评估工作。</w:t>
      </w:r>
    </w:p>
    <w:p w14:paraId="5AD80F9C">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14:textFill>
            <w14:solidFill>
              <w14:schemeClr w14:val="tx1"/>
            </w14:solidFill>
          </w14:textFill>
        </w:rPr>
        <w:t>每</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年</w:t>
      </w:r>
      <w:r>
        <w:rPr>
          <w:rFonts w:hint="eastAsia" w:ascii="仿宋_GB2312" w:hAnsi="仿宋" w:eastAsia="仿宋_GB2312" w:cs="Times New Roman"/>
          <w:color w:val="000000" w:themeColor="text1"/>
          <w:sz w:val="32"/>
          <w:szCs w:val="32"/>
          <w:highlight w:val="none"/>
          <w14:textFill>
            <w14:solidFill>
              <w14:schemeClr w14:val="tx1"/>
            </w14:solidFill>
          </w14:textFill>
        </w:rPr>
        <w:t>结束后，</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省公司、各地市公司</w:t>
      </w:r>
      <w:r>
        <w:rPr>
          <w:rFonts w:hint="eastAsia" w:ascii="仿宋_GB2312" w:hAnsi="仿宋" w:eastAsia="仿宋_GB2312" w:cs="Times New Roman"/>
          <w:color w:val="000000" w:themeColor="text1"/>
          <w:sz w:val="32"/>
          <w:szCs w:val="32"/>
          <w:highlight w:val="none"/>
          <w14:textFill>
            <w14:solidFill>
              <w14:schemeClr w14:val="tx1"/>
            </w14:solidFill>
          </w14:textFill>
        </w:rPr>
        <w:t>应根据财务统计数据，比对网络成本标杆进行使用后评估。总结存在问题，提出改进方案，作为次年预算编制的参考依据；提炼</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并推广</w:t>
      </w:r>
      <w:r>
        <w:rPr>
          <w:rFonts w:hint="eastAsia" w:ascii="仿宋_GB2312" w:hAnsi="仿宋" w:eastAsia="仿宋_GB2312" w:cs="Times New Roman"/>
          <w:color w:val="000000" w:themeColor="text1"/>
          <w:sz w:val="32"/>
          <w:szCs w:val="32"/>
          <w:highlight w:val="none"/>
          <w14:textFill>
            <w14:solidFill>
              <w14:schemeClr w14:val="tx1"/>
            </w14:solidFill>
          </w14:textFill>
        </w:rPr>
        <w:t>优秀经验，促进网络成本管理工作的持续提升。</w:t>
      </w:r>
    </w:p>
    <w:p w14:paraId="184AD08B">
      <w:pPr>
        <w:numPr>
          <w:ilvl w:val="0"/>
          <w:numId w:val="0"/>
        </w:numPr>
        <w:tabs>
          <w:tab w:val="left" w:pos="900"/>
        </w:tabs>
        <w:spacing w:line="360" w:lineRule="auto"/>
        <w:ind w:leftChars="200"/>
        <w:rPr>
          <w:rFonts w:ascii="仿宋_GB2312" w:hAnsi="仿宋" w:eastAsia="仿宋_GB2312" w:cs="Times New Roman"/>
          <w:color w:val="000000" w:themeColor="text1"/>
          <w:sz w:val="32"/>
          <w:szCs w:val="32"/>
          <w:highlight w:val="none"/>
          <w14:textFill>
            <w14:solidFill>
              <w14:schemeClr w14:val="tx1"/>
            </w14:solidFill>
          </w14:textFill>
        </w:rPr>
      </w:pPr>
    </w:p>
    <w:p w14:paraId="1E04857F">
      <w:pPr>
        <w:tabs>
          <w:tab w:val="left" w:pos="900"/>
        </w:tabs>
        <w:spacing w:line="360" w:lineRule="auto"/>
        <w:jc w:val="center"/>
        <w:outlineLvl w:val="1"/>
        <w:rPr>
          <w:rFonts w:hint="eastAsia" w:ascii="楷体" w:hAnsi="楷体" w:eastAsia="楷体" w:cs="楷体"/>
          <w:b/>
          <w:bCs/>
          <w:color w:val="000000" w:themeColor="text1"/>
          <w:sz w:val="32"/>
          <w:szCs w:val="32"/>
          <w:highlight w:val="none"/>
          <w14:textFill>
            <w14:solidFill>
              <w14:schemeClr w14:val="tx1"/>
            </w14:solidFill>
          </w14:textFill>
        </w:rPr>
      </w:pPr>
      <w:bookmarkStart w:id="30" w:name="_Toc1382572386"/>
      <w:bookmarkStart w:id="31" w:name="_Toc7336"/>
      <w:bookmarkStart w:id="32" w:name="_Toc12442"/>
      <w:r>
        <w:rPr>
          <w:rFonts w:hint="eastAsia" w:ascii="楷体" w:hAnsi="楷体" w:eastAsia="楷体" w:cs="楷体"/>
          <w:b/>
          <w:bCs/>
          <w:color w:val="000000" w:themeColor="text1"/>
          <w:sz w:val="32"/>
          <w:szCs w:val="32"/>
          <w:highlight w:val="none"/>
          <w14:textFill>
            <w14:solidFill>
              <w14:schemeClr w14:val="tx1"/>
            </w14:solidFill>
          </w14:textFill>
        </w:rPr>
        <w:t>第四节  成本指标管理</w:t>
      </w:r>
      <w:bookmarkEnd w:id="30"/>
      <w:r>
        <w:rPr>
          <w:rFonts w:hint="eastAsia" w:ascii="楷体" w:hAnsi="楷体" w:eastAsia="楷体" w:cs="楷体"/>
          <w:b/>
          <w:bCs/>
          <w:color w:val="000000" w:themeColor="text1"/>
          <w:sz w:val="32"/>
          <w:szCs w:val="32"/>
          <w:highlight w:val="none"/>
          <w14:textFill>
            <w14:solidFill>
              <w14:schemeClr w14:val="tx1"/>
            </w14:solidFill>
          </w14:textFill>
        </w:rPr>
        <w:t>与对标分析</w:t>
      </w:r>
      <w:bookmarkEnd w:id="31"/>
      <w:bookmarkEnd w:id="32"/>
    </w:p>
    <w:p w14:paraId="79D2F3E9">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14:textFill>
            <w14:solidFill>
              <w14:schemeClr w14:val="tx1"/>
            </w14:solidFill>
          </w14:textFill>
        </w:rPr>
        <w:t>指标管理是网络成本分析的重要方法。</w:t>
      </w:r>
      <w:r>
        <w:rPr>
          <w:rFonts w:hint="eastAsia" w:ascii="仿宋_GB2312" w:hAnsi="仿宋" w:eastAsia="仿宋_GB2312" w:cs="Times New Roman"/>
          <w:color w:val="auto"/>
          <w:sz w:val="32"/>
          <w:szCs w:val="32"/>
          <w:highlight w:val="none"/>
          <w:lang w:val="en-US" w:eastAsia="zh-CN"/>
        </w:rPr>
        <w:t>省网络部</w:t>
      </w:r>
      <w:r>
        <w:rPr>
          <w:rFonts w:hint="eastAsia" w:ascii="仿宋_GB2312" w:hAnsi="仿宋" w:eastAsia="仿宋_GB2312" w:cs="Times New Roman"/>
          <w:color w:val="auto"/>
          <w:sz w:val="32"/>
          <w:szCs w:val="32"/>
          <w:highlight w:val="none"/>
        </w:rPr>
        <w:t>以巩固网络质量领先优势</w:t>
      </w:r>
      <w:r>
        <w:rPr>
          <w:rFonts w:hint="eastAsia" w:ascii="仿宋_GB2312" w:hAnsi="仿宋" w:eastAsia="仿宋_GB2312" w:cs="Times New Roman"/>
          <w:color w:val="auto"/>
          <w:sz w:val="32"/>
          <w:szCs w:val="32"/>
          <w:highlight w:val="none"/>
          <w:lang w:eastAsia="zh-CN"/>
        </w:rPr>
        <w:t>、</w:t>
      </w:r>
      <w:r>
        <w:rPr>
          <w:rFonts w:hint="eastAsia" w:ascii="仿宋_GB2312" w:hAnsi="仿宋" w:eastAsia="仿宋_GB2312" w:cs="Times New Roman"/>
          <w:color w:val="auto"/>
          <w:sz w:val="32"/>
          <w:szCs w:val="32"/>
          <w:highlight w:val="none"/>
        </w:rPr>
        <w:t>提升质差短板</w:t>
      </w:r>
      <w:r>
        <w:rPr>
          <w:rFonts w:hint="eastAsia" w:ascii="仿宋_GB2312" w:hAnsi="仿宋" w:eastAsia="仿宋_GB2312" w:cs="Times New Roman"/>
          <w:color w:val="auto"/>
          <w:sz w:val="32"/>
          <w:szCs w:val="32"/>
          <w:highlight w:val="none"/>
          <w:lang w:eastAsia="zh-CN"/>
        </w:rPr>
        <w:t>、</w:t>
      </w:r>
      <w:r>
        <w:rPr>
          <w:rFonts w:hint="eastAsia" w:ascii="仿宋_GB2312" w:hAnsi="仿宋" w:eastAsia="仿宋_GB2312" w:cs="Times New Roman"/>
          <w:color w:val="auto"/>
          <w:sz w:val="32"/>
          <w:szCs w:val="32"/>
          <w:highlight w:val="none"/>
        </w:rPr>
        <w:t>助力公司收入增</w:t>
      </w:r>
      <w:bookmarkStart w:id="58" w:name="_GoBack"/>
      <w:bookmarkEnd w:id="58"/>
      <w:r>
        <w:rPr>
          <w:rFonts w:hint="eastAsia" w:ascii="仿宋_GB2312" w:hAnsi="仿宋" w:eastAsia="仿宋_GB2312" w:cs="Times New Roman"/>
          <w:color w:val="auto"/>
          <w:sz w:val="32"/>
          <w:szCs w:val="32"/>
          <w:highlight w:val="none"/>
        </w:rPr>
        <w:t>长</w:t>
      </w:r>
      <w:r>
        <w:rPr>
          <w:rFonts w:hint="eastAsia" w:ascii="仿宋_GB2312" w:hAnsi="仿宋" w:eastAsia="仿宋_GB2312" w:cs="Times New Roman"/>
          <w:color w:val="auto"/>
          <w:sz w:val="32"/>
          <w:szCs w:val="32"/>
          <w:highlight w:val="none"/>
          <w:lang w:eastAsia="zh-CN"/>
        </w:rPr>
        <w:t>、</w:t>
      </w:r>
      <w:r>
        <w:rPr>
          <w:rFonts w:hint="eastAsia" w:ascii="仿宋_GB2312" w:hAnsi="仿宋" w:eastAsia="仿宋_GB2312" w:cs="Times New Roman"/>
          <w:color w:val="auto"/>
          <w:sz w:val="32"/>
          <w:szCs w:val="32"/>
          <w:highlight w:val="none"/>
        </w:rPr>
        <w:t>支撑公司战略落地为原则，推动成本精准投入、合理使用</w:t>
      </w:r>
      <w:r>
        <w:rPr>
          <w:rFonts w:hint="eastAsia" w:ascii="仿宋_GB2312" w:hAnsi="仿宋" w:eastAsia="仿宋_GB2312" w:cs="Times New Roman"/>
          <w:color w:val="auto"/>
          <w:sz w:val="32"/>
          <w:szCs w:val="32"/>
          <w:highlight w:val="none"/>
          <w:lang w:eastAsia="zh-CN"/>
        </w:rPr>
        <w:t>，</w:t>
      </w:r>
      <w:r>
        <w:rPr>
          <w:rFonts w:hint="eastAsia" w:ascii="仿宋_GB2312" w:hAnsi="仿宋" w:eastAsia="仿宋_GB2312" w:cs="Times New Roman"/>
          <w:color w:val="auto"/>
          <w:sz w:val="32"/>
          <w:szCs w:val="32"/>
          <w:highlight w:val="none"/>
        </w:rPr>
        <w:t>落实分级分类管理，提升成本精细化管理能力，持续推进提质增效工作。</w:t>
      </w:r>
    </w:p>
    <w:p w14:paraId="747EE471">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省网络部</w:t>
      </w:r>
      <w:r>
        <w:rPr>
          <w:rFonts w:hint="eastAsia" w:ascii="仿宋_GB2312" w:hAnsi="仿宋" w:eastAsia="仿宋_GB2312" w:cs="Times New Roman"/>
          <w:color w:val="000000" w:themeColor="text1"/>
          <w:sz w:val="32"/>
          <w:szCs w:val="32"/>
          <w:highlight w:val="none"/>
          <w14:textFill>
            <w14:solidFill>
              <w14:schemeClr w14:val="tx1"/>
            </w14:solidFill>
          </w14:textFill>
        </w:rPr>
        <w:t>根据各专业管理需求，建立全网网络成本分级分类指标体系，组织各</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地市、各专业</w:t>
      </w:r>
      <w:r>
        <w:rPr>
          <w:rFonts w:hint="eastAsia" w:ascii="仿宋_GB2312" w:hAnsi="仿宋" w:eastAsia="仿宋_GB2312" w:cs="Times New Roman"/>
          <w:color w:val="000000" w:themeColor="text1"/>
          <w:sz w:val="32"/>
          <w:szCs w:val="32"/>
          <w:highlight w:val="none"/>
          <w14:textFill>
            <w14:solidFill>
              <w14:schemeClr w14:val="tx1"/>
            </w14:solidFill>
          </w14:textFill>
        </w:rPr>
        <w:t>开展全网对标及分析工作</w:t>
      </w:r>
      <w:r>
        <w:rPr>
          <w:rFonts w:hint="eastAsia" w:ascii="仿宋_GB2312" w:hAnsi="仿宋" w:eastAsia="仿宋_GB2312" w:cs="Times New Roman"/>
          <w:color w:val="000000" w:themeColor="text1"/>
          <w:sz w:val="32"/>
          <w:szCs w:val="32"/>
          <w:highlight w:val="none"/>
          <w:lang w:eastAsia="zh-CN"/>
          <w14:textFill>
            <w14:solidFill>
              <w14:schemeClr w14:val="tx1"/>
            </w14:solidFill>
          </w14:textFill>
        </w:rPr>
        <w:t>，</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各地市、各专业要针对短板进一步深入分析</w:t>
      </w:r>
      <w:r>
        <w:rPr>
          <w:rFonts w:hint="eastAsia" w:ascii="仿宋_GB2312" w:hAnsi="仿宋" w:eastAsia="仿宋_GB2312" w:cs="Times New Roman"/>
          <w:color w:val="000000" w:themeColor="text1"/>
          <w:sz w:val="32"/>
          <w:szCs w:val="32"/>
          <w:highlight w:val="none"/>
          <w14:textFill>
            <w14:solidFill>
              <w14:schemeClr w14:val="tx1"/>
            </w14:solidFill>
          </w14:textFill>
        </w:rPr>
        <w:t>原因，实施整改提升。</w:t>
      </w:r>
    </w:p>
    <w:p w14:paraId="3C96E3BD">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14:textFill>
            <w14:solidFill>
              <w14:schemeClr w14:val="tx1"/>
            </w14:solidFill>
          </w14:textFill>
        </w:rPr>
        <w:t>各</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地市</w:t>
      </w:r>
      <w:r>
        <w:rPr>
          <w:rFonts w:hint="eastAsia" w:ascii="仿宋_GB2312" w:hAnsi="仿宋" w:eastAsia="仿宋_GB2312" w:cs="Times New Roman"/>
          <w:color w:val="000000" w:themeColor="text1"/>
          <w:sz w:val="32"/>
          <w:szCs w:val="32"/>
          <w:highlight w:val="none"/>
          <w14:textFill>
            <w14:solidFill>
              <w14:schemeClr w14:val="tx1"/>
            </w14:solidFill>
          </w14:textFill>
        </w:rPr>
        <w:t>应参照网络成本分级分类指标体系，根据自身管理需要，丰富细化本单位指标内容</w:t>
      </w:r>
      <w:r>
        <w:rPr>
          <w:rFonts w:hint="eastAsia" w:ascii="仿宋_GB2312" w:hAnsi="仿宋" w:eastAsia="仿宋_GB2312" w:cs="Times New Roman"/>
          <w:color w:val="000000" w:themeColor="text1"/>
          <w:sz w:val="32"/>
          <w:szCs w:val="32"/>
          <w:highlight w:val="none"/>
          <w:lang w:eastAsia="zh-CN"/>
          <w14:textFill>
            <w14:solidFill>
              <w14:schemeClr w14:val="tx1"/>
            </w14:solidFill>
          </w14:textFill>
        </w:rPr>
        <w:t>，</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做好指标分解</w:t>
      </w:r>
      <w:r>
        <w:rPr>
          <w:rFonts w:hint="eastAsia" w:ascii="仿宋_GB2312" w:hAnsi="仿宋" w:eastAsia="仿宋_GB2312" w:cs="Times New Roman"/>
          <w:color w:val="000000" w:themeColor="text1"/>
          <w:sz w:val="32"/>
          <w:szCs w:val="32"/>
          <w:highlight w:val="none"/>
          <w14:textFill>
            <w14:solidFill>
              <w14:schemeClr w14:val="tx1"/>
            </w14:solidFill>
          </w14:textFill>
        </w:rPr>
        <w:t>，对</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下属各</w:t>
      </w:r>
      <w:r>
        <w:rPr>
          <w:rFonts w:hint="eastAsia" w:ascii="仿宋_GB2312" w:hAnsi="仿宋" w:eastAsia="仿宋_GB2312" w:cs="Times New Roman"/>
          <w:color w:val="000000" w:themeColor="text1"/>
          <w:sz w:val="32"/>
          <w:szCs w:val="32"/>
          <w:highlight w:val="none"/>
          <w14:textFill>
            <w14:solidFill>
              <w14:schemeClr w14:val="tx1"/>
            </w14:solidFill>
          </w14:textFill>
        </w:rPr>
        <w:t>网络成本执行单位开展对标工作。</w:t>
      </w:r>
    </w:p>
    <w:p w14:paraId="2B61AF6A">
      <w:pPr>
        <w:numPr>
          <w:ilvl w:val="0"/>
          <w:numId w:val="2"/>
        </w:numPr>
        <w:tabs>
          <w:tab w:val="left" w:pos="900"/>
        </w:tabs>
        <w:spacing w:line="360" w:lineRule="auto"/>
        <w:ind w:left="0" w:firstLine="640" w:firstLineChars="200"/>
        <w:rPr>
          <w:rFonts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省网络</w:t>
      </w:r>
      <w:r>
        <w:rPr>
          <w:rFonts w:hint="eastAsia" w:ascii="仿宋_GB2312" w:hAnsi="仿宋" w:eastAsia="仿宋_GB2312" w:cs="Times New Roman"/>
          <w:color w:val="000000" w:themeColor="text1"/>
          <w:sz w:val="32"/>
          <w:szCs w:val="32"/>
          <w:highlight w:val="none"/>
          <w14:textFill>
            <w14:solidFill>
              <w14:schemeClr w14:val="tx1"/>
            </w14:solidFill>
          </w14:textFill>
        </w:rPr>
        <w:t>部对各</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地市、各专业</w:t>
      </w:r>
      <w:r>
        <w:rPr>
          <w:rFonts w:hint="eastAsia" w:ascii="仿宋_GB2312" w:hAnsi="仿宋" w:eastAsia="仿宋_GB2312" w:cs="Times New Roman"/>
          <w:color w:val="000000" w:themeColor="text1"/>
          <w:sz w:val="32"/>
          <w:szCs w:val="32"/>
          <w:highlight w:val="none"/>
          <w14:textFill>
            <w14:solidFill>
              <w14:schemeClr w14:val="tx1"/>
            </w14:solidFill>
          </w14:textFill>
        </w:rPr>
        <w:t>网络成本使用情况进行对标分析，</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组织</w:t>
      </w:r>
      <w:r>
        <w:rPr>
          <w:rFonts w:hint="eastAsia" w:ascii="仿宋_GB2312" w:hAnsi="仿宋" w:eastAsia="仿宋_GB2312" w:cs="Times New Roman"/>
          <w:color w:val="000000" w:themeColor="text1"/>
          <w:sz w:val="32"/>
          <w:szCs w:val="32"/>
          <w:highlight w:val="none"/>
          <w14:textFill>
            <w14:solidFill>
              <w14:schemeClr w14:val="tx1"/>
            </w14:solidFill>
          </w14:textFill>
        </w:rPr>
        <w:t>对异常数据进行预警，及时发现和纠正费用执行过程中存在的偏差及问题，加强经验总结。</w:t>
      </w:r>
    </w:p>
    <w:p w14:paraId="77672CF2">
      <w:pPr>
        <w:rPr>
          <w:rFonts w:hint="eastAsia" w:ascii="仿宋_GB2312" w:hAnsi="仿宋" w:eastAsia="仿宋_GB2312" w:cs="Times New Roman"/>
          <w:color w:val="000000" w:themeColor="text1"/>
          <w:sz w:val="32"/>
          <w:szCs w:val="32"/>
          <w:highlight w:val="none"/>
          <w14:textFill>
            <w14:solidFill>
              <w14:schemeClr w14:val="tx1"/>
            </w14:solidFill>
          </w14:textFill>
        </w:rPr>
      </w:pPr>
      <w:r>
        <w:rPr>
          <w:rFonts w:hint="eastAsia" w:ascii="仿宋_GB2312" w:hAnsi="仿宋" w:eastAsia="仿宋_GB2312" w:cs="Times New Roman"/>
          <w:color w:val="000000" w:themeColor="text1"/>
          <w:sz w:val="32"/>
          <w:szCs w:val="32"/>
          <w:highlight w:val="none"/>
          <w14:textFill>
            <w14:solidFill>
              <w14:schemeClr w14:val="tx1"/>
            </w14:solidFill>
          </w14:textFill>
        </w:rPr>
        <w:t>各</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地市</w:t>
      </w:r>
      <w:r>
        <w:rPr>
          <w:rFonts w:hint="eastAsia" w:ascii="仿宋_GB2312" w:hAnsi="仿宋" w:eastAsia="仿宋_GB2312" w:cs="Times New Roman"/>
          <w:color w:val="000000" w:themeColor="text1"/>
          <w:sz w:val="32"/>
          <w:szCs w:val="32"/>
          <w:highlight w:val="none"/>
          <w14:textFill>
            <w14:solidFill>
              <w14:schemeClr w14:val="tx1"/>
            </w14:solidFill>
          </w14:textFill>
        </w:rPr>
        <w:t>按照网络成本分级分类指标体系，</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每月</w:t>
      </w:r>
      <w:r>
        <w:rPr>
          <w:rFonts w:hint="eastAsia" w:ascii="仿宋_GB2312" w:hAnsi="仿宋" w:eastAsia="仿宋_GB2312" w:cs="Times New Roman"/>
          <w:color w:val="000000" w:themeColor="text1"/>
          <w:sz w:val="32"/>
          <w:szCs w:val="32"/>
          <w:highlight w:val="none"/>
          <w14:textFill>
            <w14:solidFill>
              <w14:schemeClr w14:val="tx1"/>
            </w14:solidFill>
          </w14:textFill>
        </w:rPr>
        <w:t>对本</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单位</w:t>
      </w:r>
      <w:r>
        <w:rPr>
          <w:rFonts w:hint="eastAsia" w:ascii="仿宋_GB2312" w:hAnsi="仿宋" w:eastAsia="仿宋_GB2312" w:cs="Times New Roman"/>
          <w:color w:val="000000" w:themeColor="text1"/>
          <w:sz w:val="32"/>
          <w:szCs w:val="32"/>
          <w:highlight w:val="none"/>
          <w14:textFill>
            <w14:solidFill>
              <w14:schemeClr w14:val="tx1"/>
            </w14:solidFill>
          </w14:textFill>
        </w:rPr>
        <w:t>各类网络成本使用情况进行对标分析，及时发现问题并予以纠正，确保费用支出合理；对</w:t>
      </w:r>
      <w:r>
        <w:rPr>
          <w:rFonts w:hint="eastAsia" w:ascii="仿宋_GB2312" w:hAnsi="仿宋" w:eastAsia="仿宋_GB2312" w:cs="Times New Roman"/>
          <w:color w:val="000000" w:themeColor="text1"/>
          <w:sz w:val="32"/>
          <w:szCs w:val="32"/>
          <w:highlight w:val="none"/>
          <w:lang w:val="en-US" w:eastAsia="zh-CN"/>
          <w14:textFill>
            <w14:solidFill>
              <w14:schemeClr w14:val="tx1"/>
            </w14:solidFill>
          </w14:textFill>
        </w:rPr>
        <w:t>省公司</w:t>
      </w:r>
      <w:r>
        <w:rPr>
          <w:rFonts w:hint="eastAsia" w:ascii="仿宋_GB2312" w:hAnsi="仿宋" w:eastAsia="仿宋_GB2312" w:cs="Times New Roman"/>
          <w:color w:val="000000" w:themeColor="text1"/>
          <w:sz w:val="32"/>
          <w:szCs w:val="32"/>
          <w:highlight w:val="none"/>
          <w14:textFill>
            <w14:solidFill>
              <w14:schemeClr w14:val="tx1"/>
            </w14:solidFill>
          </w14:textFill>
        </w:rPr>
        <w:t>发现的成本使用问题及时进行整改，上报整改结果。</w:t>
      </w:r>
    </w:p>
    <w:p w14:paraId="6940275C">
      <w:pPr>
        <w:rPr>
          <w:rFonts w:hint="eastAsia" w:ascii="仿宋_GB2312" w:hAnsi="仿宋" w:eastAsia="仿宋_GB2312" w:cs="Times New Roman"/>
          <w:color w:val="000000" w:themeColor="text1"/>
          <w:sz w:val="32"/>
          <w:szCs w:val="32"/>
          <w:highlight w:val="none"/>
          <w14:textFill>
            <w14:solidFill>
              <w14:schemeClr w14:val="tx1"/>
            </w14:solidFill>
          </w14:textFill>
        </w:rPr>
      </w:pPr>
    </w:p>
    <w:p w14:paraId="092FA43A">
      <w:pPr>
        <w:keepNext/>
        <w:keepLines/>
        <w:pageBreakBefore w:val="0"/>
        <w:widowControl w:val="0"/>
        <w:numPr>
          <w:ilvl w:val="0"/>
          <w:numId w:val="1"/>
        </w:numPr>
        <w:kinsoku/>
        <w:wordWrap/>
        <w:overflowPunct/>
        <w:topLinePunct w:val="0"/>
        <w:autoSpaceDE/>
        <w:autoSpaceDN/>
        <w:bidi w:val="0"/>
        <w:adjustRightInd/>
        <w:snapToGrid/>
        <w:spacing w:before="340" w:after="330" w:line="360" w:lineRule="auto"/>
        <w:ind w:left="0" w:firstLine="0"/>
        <w:jc w:val="center"/>
        <w:textAlignment w:val="auto"/>
        <w:outlineLvl w:val="0"/>
        <w:rPr>
          <w:rFonts w:ascii="黑体" w:hAnsi="黑体" w:eastAsia="黑体" w:cs="Times New Roman"/>
          <w:bCs/>
          <w:color w:val="000000" w:themeColor="text1"/>
          <w:kern w:val="44"/>
          <w:sz w:val="36"/>
          <w:szCs w:val="36"/>
          <w:highlight w:val="none"/>
          <w14:textFill>
            <w14:solidFill>
              <w14:schemeClr w14:val="tx1"/>
            </w14:solidFill>
          </w14:textFill>
        </w:rPr>
      </w:pPr>
      <w:r>
        <w:rPr>
          <w:rFonts w:hint="eastAsia" w:ascii="黑体" w:hAnsi="黑体" w:eastAsia="黑体" w:cs="Times New Roman"/>
          <w:bCs/>
          <w:color w:val="000000" w:themeColor="text1"/>
          <w:kern w:val="44"/>
          <w:sz w:val="36"/>
          <w:szCs w:val="36"/>
          <w:highlight w:val="none"/>
          <w14:textFill>
            <w14:solidFill>
              <w14:schemeClr w14:val="tx1"/>
            </w14:solidFill>
          </w14:textFill>
        </w:rPr>
        <w:t xml:space="preserve"> </w:t>
      </w:r>
      <w:bookmarkStart w:id="33" w:name="_Toc12166"/>
      <w:r>
        <w:rPr>
          <w:rFonts w:hint="eastAsia" w:ascii="黑体" w:hAnsi="黑体" w:eastAsia="黑体" w:cs="Times New Roman"/>
          <w:bCs/>
          <w:color w:val="000000" w:themeColor="text1"/>
          <w:kern w:val="44"/>
          <w:sz w:val="36"/>
          <w:szCs w:val="36"/>
          <w:highlight w:val="none"/>
          <w14:textFill>
            <w14:solidFill>
              <w14:schemeClr w14:val="tx1"/>
            </w14:solidFill>
          </w14:textFill>
        </w:rPr>
        <w:t>费用稽核与风险防控管理</w:t>
      </w:r>
      <w:bookmarkEnd w:id="33"/>
    </w:p>
    <w:p w14:paraId="5FD21A91">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集团</w:t>
      </w:r>
      <w:r>
        <w:rPr>
          <w:rFonts w:hint="eastAsia" w:ascii="仿宋_GB2312" w:hAnsi="仿宋_GB2312" w:eastAsia="仿宋_GB2312" w:cs="仿宋_GB2312"/>
          <w:color w:val="000000" w:themeColor="text1"/>
          <w:sz w:val="32"/>
          <w:szCs w:val="32"/>
          <w:highlight w:val="none"/>
          <w14:textFill>
            <w14:solidFill>
              <w14:schemeClr w14:val="tx1"/>
            </w14:solidFill>
          </w14:textFill>
        </w:rPr>
        <w:t>网络事业部分阶段将网络成本各类费用全量纳入网络成本系统统一管理和报账。</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各地市公司</w:t>
      </w:r>
      <w:r>
        <w:rPr>
          <w:rFonts w:hint="eastAsia" w:ascii="仿宋_GB2312" w:hAnsi="仿宋_GB2312" w:eastAsia="仿宋_GB2312" w:cs="仿宋_GB2312"/>
          <w:color w:val="000000" w:themeColor="text1"/>
          <w:sz w:val="32"/>
          <w:szCs w:val="32"/>
          <w:highlight w:val="none"/>
          <w14:textFill>
            <w14:solidFill>
              <w14:schemeClr w14:val="tx1"/>
            </w14:solidFill>
          </w14:textFill>
        </w:rPr>
        <w:t>应设置费用稽核环节作为网络成本报账流程的一部分，稽核通过后方可进入财务支付环节。对于发现人为造假造成公司损失的情况，应按照本办法</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监督与追责</w:t>
      </w:r>
      <w:r>
        <w:rPr>
          <w:rFonts w:hint="eastAsia" w:ascii="仿宋_GB2312" w:hAnsi="仿宋_GB2312" w:eastAsia="仿宋_GB2312" w:cs="仿宋_GB2312"/>
          <w:color w:val="000000" w:themeColor="text1"/>
          <w:sz w:val="32"/>
          <w:szCs w:val="32"/>
          <w:highlight w:val="none"/>
          <w14:textFill>
            <w14:solidFill>
              <w14:schemeClr w14:val="tx1"/>
            </w14:solidFill>
          </w14:textFill>
        </w:rPr>
        <w:t>管理的相关</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条款</w:t>
      </w:r>
      <w:r>
        <w:rPr>
          <w:rFonts w:hint="eastAsia" w:ascii="仿宋_GB2312" w:hAnsi="仿宋_GB2312" w:eastAsia="仿宋_GB2312" w:cs="仿宋_GB2312"/>
          <w:color w:val="000000" w:themeColor="text1"/>
          <w:sz w:val="32"/>
          <w:szCs w:val="32"/>
          <w:highlight w:val="none"/>
          <w14:textFill>
            <w14:solidFill>
              <w14:schemeClr w14:val="tx1"/>
            </w14:solidFill>
          </w14:textFill>
        </w:rPr>
        <w:t>进行</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追</w:t>
      </w:r>
      <w:r>
        <w:rPr>
          <w:rFonts w:hint="eastAsia" w:ascii="仿宋_GB2312" w:hAnsi="仿宋_GB2312" w:eastAsia="仿宋_GB2312" w:cs="仿宋_GB2312"/>
          <w:color w:val="000000" w:themeColor="text1"/>
          <w:sz w:val="32"/>
          <w:szCs w:val="32"/>
          <w:highlight w:val="none"/>
          <w14:textFill>
            <w14:solidFill>
              <w14:schemeClr w14:val="tx1"/>
            </w14:solidFill>
          </w14:textFill>
        </w:rPr>
        <w:t>责。</w:t>
      </w:r>
    </w:p>
    <w:p w14:paraId="447E023F">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集团</w:t>
      </w:r>
      <w:r>
        <w:rPr>
          <w:rFonts w:hint="eastAsia" w:ascii="仿宋_GB2312" w:hAnsi="仿宋_GB2312" w:eastAsia="仿宋_GB2312" w:cs="仿宋_GB2312"/>
          <w:color w:val="000000" w:themeColor="text1"/>
          <w:sz w:val="32"/>
          <w:szCs w:val="32"/>
          <w:highlight w:val="none"/>
          <w14:textFill>
            <w14:solidFill>
              <w14:schemeClr w14:val="tx1"/>
            </w14:solidFill>
          </w14:textFill>
        </w:rPr>
        <w:t>网络事业部依托网络成本管理系统来明确网络成本稽核的范围、流程与规则，并开展稽核管理工作。</w:t>
      </w:r>
    </w:p>
    <w:p w14:paraId="653EF2B6">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单位</w:t>
      </w:r>
      <w:r>
        <w:rPr>
          <w:rFonts w:hint="eastAsia" w:ascii="仿宋_GB2312" w:hAnsi="仿宋_GB2312" w:eastAsia="仿宋_GB2312" w:cs="仿宋_GB2312"/>
          <w:color w:val="000000" w:themeColor="text1"/>
          <w:sz w:val="32"/>
          <w:szCs w:val="32"/>
          <w:highlight w:val="none"/>
          <w14:textFill>
            <w14:solidFill>
              <w14:schemeClr w14:val="tx1"/>
            </w14:solidFill>
          </w14:textFill>
        </w:rPr>
        <w:t>应加强日常费用稽核管理工作，应用网络成本管理系统加强稽核单规范性审核，对超标情况应开展以省为单位的集中稽核，并定期对稽核情况进行分析与通报。</w:t>
      </w:r>
    </w:p>
    <w:p w14:paraId="2C5D3EFE">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强化日常风险防控管理。</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省网络</w:t>
      </w:r>
      <w:r>
        <w:rPr>
          <w:rFonts w:hint="eastAsia" w:ascii="仿宋_GB2312" w:hAnsi="仿宋_GB2312" w:eastAsia="仿宋_GB2312" w:cs="仿宋_GB2312"/>
          <w:color w:val="000000" w:themeColor="text1"/>
          <w:sz w:val="32"/>
          <w:szCs w:val="32"/>
          <w:highlight w:val="none"/>
          <w14:textFill>
            <w14:solidFill>
              <w14:schemeClr w14:val="tx1"/>
            </w14:solidFill>
          </w14:textFill>
        </w:rPr>
        <w:t>部常态滚动更新《嵌入式廉洁风险防控机制建设网络运维领域分册》相关网络成本风险点，及时修订完善防控举措和</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追</w:t>
      </w:r>
      <w:r>
        <w:rPr>
          <w:rFonts w:hint="eastAsia" w:ascii="仿宋_GB2312" w:hAnsi="仿宋_GB2312" w:eastAsia="仿宋_GB2312" w:cs="仿宋_GB2312"/>
          <w:color w:val="000000" w:themeColor="text1"/>
          <w:sz w:val="32"/>
          <w:szCs w:val="32"/>
          <w:highlight w:val="none"/>
          <w14:textFill>
            <w14:solidFill>
              <w14:schemeClr w14:val="tx1"/>
            </w14:solidFill>
          </w14:textFill>
        </w:rPr>
        <w:t>责条款，下发各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地市</w:t>
      </w:r>
      <w:r>
        <w:rPr>
          <w:rFonts w:hint="eastAsia" w:ascii="仿宋_GB2312" w:hAnsi="仿宋_GB2312" w:eastAsia="仿宋_GB2312" w:cs="仿宋_GB2312"/>
          <w:color w:val="000000" w:themeColor="text1"/>
          <w:sz w:val="32"/>
          <w:szCs w:val="32"/>
          <w:highlight w:val="none"/>
          <w14:textFill>
            <w14:solidFill>
              <w14:schemeClr w14:val="tx1"/>
            </w14:solidFill>
          </w14:textFill>
        </w:rPr>
        <w:t>执行，并加强宣贯落实</w:t>
      </w:r>
      <w:r>
        <w:rPr>
          <w:rFonts w:hint="eastAsia" w:ascii="仿宋_GB2312" w:hAnsi="仿宋_GB2312" w:eastAsia="仿宋_GB2312" w:cs="仿宋_GB2312"/>
          <w:color w:val="000000" w:themeColor="text1"/>
          <w:kern w:val="44"/>
          <w:sz w:val="32"/>
          <w:szCs w:val="32"/>
          <w:highlight w:val="none"/>
          <w14:textFill>
            <w14:solidFill>
              <w14:schemeClr w14:val="tx1"/>
            </w14:solidFill>
          </w14:textFill>
        </w:rPr>
        <w:t>。</w:t>
      </w:r>
    </w:p>
    <w:p w14:paraId="5F4D5D6F">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省网络</w:t>
      </w:r>
      <w:r>
        <w:rPr>
          <w:rFonts w:hint="eastAsia" w:ascii="仿宋_GB2312" w:hAnsi="仿宋_GB2312" w:eastAsia="仿宋_GB2312" w:cs="仿宋_GB2312"/>
          <w:color w:val="000000" w:themeColor="text1"/>
          <w:sz w:val="32"/>
          <w:szCs w:val="32"/>
          <w:highlight w:val="none"/>
          <w14:textFill>
            <w14:solidFill>
              <w14:schemeClr w14:val="tx1"/>
            </w14:solidFill>
          </w14:textFill>
        </w:rPr>
        <w:t>部负责在全网组织对本办法执行监督检查，各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地市</w:t>
      </w:r>
      <w:r>
        <w:rPr>
          <w:rFonts w:hint="eastAsia" w:ascii="仿宋_GB2312" w:hAnsi="仿宋_GB2312" w:eastAsia="仿宋_GB2312" w:cs="仿宋_GB2312"/>
          <w:color w:val="000000" w:themeColor="text1"/>
          <w:sz w:val="32"/>
          <w:szCs w:val="32"/>
          <w:highlight w:val="none"/>
          <w14:textFill>
            <w14:solidFill>
              <w14:schemeClr w14:val="tx1"/>
            </w14:solidFill>
          </w14:textFill>
        </w:rPr>
        <w:t>负责组织对本单位管理细则执行监督检查。网络成本执行单位负责按照本单位细则开展自查。检查方式采用定期或不定期检查或抽查方式。</w:t>
      </w:r>
    </w:p>
    <w:p w14:paraId="02072C3F">
      <w:pPr>
        <w:numPr>
          <w:ilvl w:val="0"/>
          <w:numId w:val="2"/>
        </w:numPr>
        <w:tabs>
          <w:tab w:val="left" w:pos="900"/>
        </w:tabs>
        <w:spacing w:line="360" w:lineRule="auto"/>
        <w:ind w:left="0" w:firstLine="643" w:firstLineChars="200"/>
        <w:rPr>
          <w:rFonts w:ascii="仿宋_GB2312" w:hAnsi="仿宋_GB2312" w:eastAsia="仿宋_GB2312" w:cs="仿宋_GB2312"/>
          <w:b/>
          <w:bCs/>
          <w:color w:val="000000" w:themeColor="text1"/>
          <w:sz w:val="32"/>
          <w:szCs w:val="32"/>
          <w:highlight w:val="none"/>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14:textFill>
            <w14:solidFill>
              <w14:schemeClr w14:val="tx1"/>
            </w14:solidFill>
          </w14:textFill>
        </w:rPr>
        <w:t>检查相关要求：</w:t>
      </w:r>
    </w:p>
    <w:p w14:paraId="63DF04C3">
      <w:pPr>
        <w:widowControl w:val="0"/>
        <w:numPr>
          <w:ilvl w:val="0"/>
          <w:numId w:val="0"/>
        </w:numPr>
        <w:spacing w:afterLines="50" w:line="360" w:lineRule="auto"/>
        <w:ind w:firstLine="640" w:firstLineChars="20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一）负责检查的单位应针对检查事项，制定监督检查计划，按计划开展检查。对监督检查中发现的异常情况，检查单位有权当场质疑、询问；监督检查中发现有违反国家法律法规和公司有关规定的情况，应提出纠正或改进建议。</w:t>
      </w:r>
    </w:p>
    <w:p w14:paraId="52AFD53F">
      <w:pPr>
        <w:widowControl w:val="0"/>
        <w:numPr>
          <w:ilvl w:val="0"/>
          <w:numId w:val="0"/>
        </w:numPr>
        <w:spacing w:afterLines="50" w:line="360" w:lineRule="auto"/>
        <w:ind w:firstLine="640" w:firstLineChars="20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（二）负责检查的单位对本办法执行管理工作中发生的经常性、普遍性问题进行统计分析，提出有针对性的改进意见和建议，并以情况通报等方式向相关部门进行反馈、责令整改。</w:t>
      </w:r>
    </w:p>
    <w:p w14:paraId="468E5225">
      <w:pPr>
        <w:widowControl w:val="0"/>
        <w:numPr>
          <w:ilvl w:val="0"/>
          <w:numId w:val="0"/>
        </w:numPr>
        <w:spacing w:afterLines="50" w:line="360" w:lineRule="auto"/>
        <w:ind w:firstLine="640" w:firstLineChars="20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（三）负责检查的单位对于监督检查中发现重要问题事项，应及时向公司分管领导请示、报告。</w:t>
      </w:r>
    </w:p>
    <w:p w14:paraId="54D39B7B">
      <w:pP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（四）负责检查的单位监督检查过程需电子或纸质等方式进行记录，并对记录进行保存。</w:t>
      </w:r>
    </w:p>
    <w:p w14:paraId="52BCF7E4">
      <w:pP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p>
    <w:p w14:paraId="25D643CE">
      <w:pPr>
        <w:keepNext/>
        <w:keepLines/>
        <w:pageBreakBefore w:val="0"/>
        <w:widowControl w:val="0"/>
        <w:numPr>
          <w:ilvl w:val="0"/>
          <w:numId w:val="1"/>
        </w:numPr>
        <w:kinsoku/>
        <w:wordWrap/>
        <w:overflowPunct/>
        <w:topLinePunct w:val="0"/>
        <w:autoSpaceDE/>
        <w:autoSpaceDN/>
        <w:bidi w:val="0"/>
        <w:adjustRightInd/>
        <w:snapToGrid/>
        <w:spacing w:before="340" w:after="330" w:line="360" w:lineRule="auto"/>
        <w:ind w:left="0" w:firstLine="0"/>
        <w:jc w:val="center"/>
        <w:textAlignment w:val="auto"/>
        <w:outlineLvl w:val="0"/>
        <w:rPr>
          <w:rFonts w:ascii="黑体" w:hAnsi="黑体" w:eastAsia="黑体" w:cs="Times New Roman"/>
          <w:bCs/>
          <w:color w:val="000000" w:themeColor="text1"/>
          <w:kern w:val="44"/>
          <w:sz w:val="36"/>
          <w:szCs w:val="36"/>
          <w:highlight w:val="none"/>
          <w14:textFill>
            <w14:solidFill>
              <w14:schemeClr w14:val="tx1"/>
            </w14:solidFill>
          </w14:textFill>
        </w:rPr>
      </w:pPr>
      <w:bookmarkStart w:id="34" w:name="_Toc3875"/>
      <w:r>
        <w:rPr>
          <w:rFonts w:hint="eastAsia" w:ascii="黑体" w:hAnsi="黑体" w:eastAsia="黑体" w:cs="Times New Roman"/>
          <w:bCs/>
          <w:color w:val="000000" w:themeColor="text1"/>
          <w:kern w:val="44"/>
          <w:sz w:val="36"/>
          <w:szCs w:val="36"/>
          <w:highlight w:val="none"/>
          <w14:textFill>
            <w14:solidFill>
              <w14:schemeClr w14:val="tx1"/>
            </w14:solidFill>
          </w14:textFill>
        </w:rPr>
        <w:t>系统与基础信息管理</w:t>
      </w:r>
      <w:bookmarkEnd w:id="34"/>
    </w:p>
    <w:p w14:paraId="670BE993">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为了实现网络成本的标准化、规范化、系统化高效管理，</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集团</w:t>
      </w:r>
      <w:r>
        <w:rPr>
          <w:rFonts w:hint="eastAsia" w:ascii="仿宋_GB2312" w:hAnsi="仿宋_GB2312" w:eastAsia="仿宋_GB2312" w:cs="仿宋_GB2312"/>
          <w:color w:val="000000" w:themeColor="text1"/>
          <w:sz w:val="32"/>
          <w:szCs w:val="32"/>
          <w:highlight w:val="none"/>
          <w14:textFill>
            <w14:solidFill>
              <w14:schemeClr w14:val="tx1"/>
            </w14:solidFill>
          </w14:textFill>
        </w:rPr>
        <w:t>网络事业部负责总体牵头网络成本管理系统的建设和运维，组织收集各使用单位的系统需求，持续优化完善系统功能。各省公司、</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地市公司</w:t>
      </w:r>
      <w:r>
        <w:rPr>
          <w:rFonts w:hint="eastAsia" w:ascii="仿宋_GB2312" w:hAnsi="仿宋_GB2312" w:eastAsia="仿宋_GB2312" w:cs="仿宋_GB2312"/>
          <w:color w:val="000000" w:themeColor="text1"/>
          <w:sz w:val="32"/>
          <w:szCs w:val="32"/>
          <w:highlight w:val="none"/>
          <w14:textFill>
            <w14:solidFill>
              <w14:schemeClr w14:val="tx1"/>
            </w14:solidFill>
          </w14:textFill>
        </w:rPr>
        <w:t>作为网络成本管理系统的具体使用单位，应严格按照网络成本管理系统规范执行线上操作。</w:t>
      </w:r>
    </w:p>
    <w:p w14:paraId="165DEF0B">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省网络部组织各地市</w:t>
      </w:r>
      <w:r>
        <w:rPr>
          <w:rFonts w:hint="eastAsia" w:ascii="仿宋_GB2312" w:hAnsi="仿宋_GB2312" w:eastAsia="仿宋_GB2312" w:cs="仿宋_GB2312"/>
          <w:color w:val="000000" w:themeColor="text1"/>
          <w:sz w:val="32"/>
          <w:szCs w:val="32"/>
          <w:highlight w:val="none"/>
          <w14:textFill>
            <w14:solidFill>
              <w14:schemeClr w14:val="tx1"/>
            </w14:solidFill>
          </w14:textFill>
        </w:rPr>
        <w:t>通过网络成本</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管理</w:t>
      </w:r>
      <w:r>
        <w:rPr>
          <w:rFonts w:hint="eastAsia" w:ascii="仿宋_GB2312" w:hAnsi="仿宋_GB2312" w:eastAsia="仿宋_GB2312" w:cs="仿宋_GB2312"/>
          <w:color w:val="000000" w:themeColor="text1"/>
          <w:sz w:val="32"/>
          <w:szCs w:val="32"/>
          <w:highlight w:val="none"/>
          <w14:textFill>
            <w14:solidFill>
              <w14:schemeClr w14:val="tx1"/>
            </w14:solidFill>
          </w14:textFill>
        </w:rPr>
        <w:t>系统用户角色设置、工作流程设置以及与对接系统的功能区分等来明确各级网络成本管理或执行人员的工作职责、工作标准等。</w:t>
      </w:r>
    </w:p>
    <w:p w14:paraId="2628EE65">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集团</w:t>
      </w:r>
      <w:r>
        <w:rPr>
          <w:rFonts w:hint="eastAsia" w:ascii="仿宋_GB2312" w:hAnsi="仿宋_GB2312" w:eastAsia="仿宋_GB2312" w:cs="仿宋_GB2312"/>
          <w:color w:val="000000" w:themeColor="text1"/>
          <w:sz w:val="32"/>
          <w:szCs w:val="32"/>
          <w:highlight w:val="none"/>
          <w14:textFill>
            <w14:solidFill>
              <w14:schemeClr w14:val="tx1"/>
            </w14:solidFill>
          </w14:textFill>
        </w:rPr>
        <w:t>网络事业部</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组织各单位</w:t>
      </w:r>
      <w:r>
        <w:rPr>
          <w:rFonts w:hint="eastAsia" w:ascii="仿宋_GB2312" w:hAnsi="仿宋_GB2312" w:eastAsia="仿宋_GB2312" w:cs="仿宋_GB2312"/>
          <w:color w:val="000000" w:themeColor="text1"/>
          <w:sz w:val="32"/>
          <w:szCs w:val="32"/>
          <w:highlight w:val="none"/>
          <w14:textFill>
            <w14:solidFill>
              <w14:schemeClr w14:val="tx1"/>
            </w14:solidFill>
          </w14:textFill>
        </w:rPr>
        <w:t>基于网络成本管理系统建立各类成本预算模型，逐步实现预算编制、审核及调整等的系统化，费用计提、报账、稽核等均通过系统执行，并依托网络成本管理系统来开展费用的后评估工作。</w:t>
      </w:r>
    </w:p>
    <w:p w14:paraId="584B0CA7">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集团</w:t>
      </w:r>
      <w:r>
        <w:rPr>
          <w:rFonts w:hint="eastAsia" w:ascii="仿宋_GB2312" w:hAnsi="仿宋_GB2312" w:eastAsia="仿宋_GB2312" w:cs="仿宋_GB2312"/>
          <w:color w:val="000000" w:themeColor="text1"/>
          <w:sz w:val="32"/>
          <w:szCs w:val="32"/>
          <w:highlight w:val="none"/>
          <w14:textFill>
            <w14:solidFill>
              <w14:schemeClr w14:val="tx1"/>
            </w14:solidFill>
          </w14:textFill>
        </w:rPr>
        <w:t>网络事业部</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组织各单位</w:t>
      </w:r>
      <w:r>
        <w:rPr>
          <w:rFonts w:hint="eastAsia" w:ascii="仿宋_GB2312" w:hAnsi="仿宋_GB2312" w:eastAsia="仿宋_GB2312" w:cs="仿宋_GB2312"/>
          <w:color w:val="000000" w:themeColor="text1"/>
          <w:sz w:val="32"/>
          <w:szCs w:val="32"/>
          <w:highlight w:val="none"/>
          <w14:textFill>
            <w14:solidFill>
              <w14:schemeClr w14:val="tx1"/>
            </w14:solidFill>
          </w14:textFill>
        </w:rPr>
        <w:t>基于网络成本管理系统，通过大数据分析、AI智能等手段不断完善各项网络成本稽核规范、提升稽核效率，并根据需要在网络成本管理系统适时动态调整。</w:t>
      </w:r>
    </w:p>
    <w:p w14:paraId="242EFE0B">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网络成本管理系统要为成本管理提供分析支撑，基于对网络成本各个环节的系统管理要逐步实现并完善分级分类指标体系各项指标的自动统计分析、异常检测与预警等，支撑各级费用管理人员开展分析工作。</w:t>
      </w:r>
    </w:p>
    <w:p w14:paraId="3403DDDB">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bookmarkStart w:id="35" w:name="_Toc7079055"/>
      <w:bookmarkStart w:id="36" w:name="_Toc83541720"/>
      <w:bookmarkStart w:id="37" w:name="_Toc463969080"/>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省市公司</w:t>
      </w:r>
      <w:r>
        <w:rPr>
          <w:rFonts w:hint="eastAsia" w:ascii="仿宋_GB2312" w:hAnsi="仿宋_GB2312" w:eastAsia="仿宋_GB2312" w:cs="仿宋_GB2312"/>
          <w:color w:val="000000" w:themeColor="text1"/>
          <w:sz w:val="32"/>
          <w:szCs w:val="32"/>
          <w:highlight w:val="none"/>
          <w14:textFill>
            <w14:solidFill>
              <w14:schemeClr w14:val="tx1"/>
            </w14:solidFill>
          </w14:textFill>
        </w:rPr>
        <w:t>应将网络成本基础信息（定义范围见第七章）管理纳入日常管理工作中，充分依托综资系统、合同系统、网络成本管理系统、业务系统（代维、维保、整治、装移机等）等相关数据开展常态化的分析核查，以用促准，网络成本管理与专业管理共同推进确保各系统基础数据的一致。</w:t>
      </w:r>
    </w:p>
    <w:p w14:paraId="481C9108">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网络成本执行单位要确保综资系统数据的准确性，在站点、设备、业务等信息发生变化时，应与综资系统同步关联更新，确保计费数据准确性。其中，站点退租时，综资系统应同步申请退网，并尽快完成退网之前在网期间的费用结算，防范“空站、空表、错站、错表缴费”现象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发生</w:t>
      </w:r>
      <w:r>
        <w:rPr>
          <w:rFonts w:hint="eastAsia" w:ascii="仿宋_GB2312" w:hAnsi="仿宋_GB2312" w:eastAsia="仿宋_GB2312" w:cs="仿宋_GB2312"/>
          <w:color w:val="000000" w:themeColor="text1"/>
          <w:sz w:val="32"/>
          <w:szCs w:val="32"/>
          <w:highlight w:val="none"/>
          <w14:textFill>
            <w14:solidFill>
              <w14:schemeClr w14:val="tx1"/>
            </w14:solidFill>
          </w14:textFill>
        </w:rPr>
        <w:t>。</w:t>
      </w:r>
    </w:p>
    <w:p w14:paraId="7811D661">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省省市公司</w:t>
      </w:r>
      <w:r>
        <w:rPr>
          <w:rFonts w:hint="eastAsia" w:ascii="仿宋_GB2312" w:hAnsi="仿宋_GB2312" w:eastAsia="仿宋_GB2312" w:cs="仿宋_GB2312"/>
          <w:color w:val="000000" w:themeColor="text1"/>
          <w:sz w:val="32"/>
          <w:szCs w:val="32"/>
          <w:highlight w:val="none"/>
          <w14:textFill>
            <w14:solidFill>
              <w14:schemeClr w14:val="tx1"/>
            </w14:solidFill>
          </w14:textFill>
        </w:rPr>
        <w:t>网络部应做好成本管理系统的信息维护，包括账号信息、合同信息、报账信息、报账与稽核相关网络成本费用基础信息、审批记录，充分依托成本管理系统进行业财管理，提升管理水平，降低管理风险。</w:t>
      </w:r>
    </w:p>
    <w:p w14:paraId="6A38D514">
      <w:pPr>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当服务单价、供应商信息等关键信息出现变化，或者服务供应商对工作量等关键信息提出异议时，网络成本执行单位应按照相关流程进行审批，审核通过后及时向相关部门提出变更申请，并在相关管理系统上进行信息变更。</w:t>
      </w:r>
    </w:p>
    <w:p w14:paraId="0CBFF070">
      <w:pPr>
        <w:rPr>
          <w:rFonts w:hint="eastAsia" w:ascii="仿宋_GB2312" w:hAnsi="仿宋_GB2312" w:eastAsia="仿宋_GB2312" w:cs="仿宋_GB2312"/>
          <w:color w:val="000000" w:themeColor="text1"/>
          <w:sz w:val="32"/>
          <w:szCs w:val="32"/>
          <w:highlight w:val="none"/>
          <w14:textFill>
            <w14:solidFill>
              <w14:schemeClr w14:val="tx1"/>
            </w14:solidFill>
          </w14:textFill>
        </w:rPr>
      </w:pPr>
    </w:p>
    <w:p w14:paraId="5BA7AF07">
      <w:pPr>
        <w:keepNext/>
        <w:keepLines/>
        <w:pageBreakBefore w:val="0"/>
        <w:widowControl w:val="0"/>
        <w:numPr>
          <w:ilvl w:val="0"/>
          <w:numId w:val="1"/>
        </w:numPr>
        <w:kinsoku/>
        <w:wordWrap/>
        <w:overflowPunct/>
        <w:topLinePunct w:val="0"/>
        <w:autoSpaceDE/>
        <w:autoSpaceDN/>
        <w:bidi w:val="0"/>
        <w:adjustRightInd/>
        <w:snapToGrid/>
        <w:spacing w:before="340" w:after="330" w:line="360" w:lineRule="auto"/>
        <w:ind w:left="0" w:firstLine="0"/>
        <w:jc w:val="center"/>
        <w:textAlignment w:val="auto"/>
        <w:outlineLvl w:val="0"/>
        <w:rPr>
          <w:rFonts w:ascii="黑体" w:hAnsi="黑体" w:eastAsia="黑体" w:cs="Times New Roman"/>
          <w:bCs/>
          <w:color w:val="000000" w:themeColor="text1"/>
          <w:kern w:val="44"/>
          <w:sz w:val="36"/>
          <w:szCs w:val="36"/>
          <w:highlight w:val="none"/>
          <w14:textFill>
            <w14:solidFill>
              <w14:schemeClr w14:val="tx1"/>
            </w14:solidFill>
          </w14:textFill>
        </w:rPr>
      </w:pPr>
      <w:r>
        <w:rPr>
          <w:rFonts w:hint="eastAsia" w:ascii="黑体" w:hAnsi="黑体" w:eastAsia="黑体" w:cs="Times New Roman"/>
          <w:bCs/>
          <w:color w:val="000000" w:themeColor="text1"/>
          <w:kern w:val="44"/>
          <w:sz w:val="36"/>
          <w:szCs w:val="36"/>
          <w:highlight w:val="none"/>
          <w14:textFill>
            <w14:solidFill>
              <w14:schemeClr w14:val="tx1"/>
            </w14:solidFill>
          </w14:textFill>
        </w:rPr>
        <w:t xml:space="preserve"> </w:t>
      </w:r>
      <w:bookmarkStart w:id="38" w:name="_Toc31385"/>
      <w:r>
        <w:rPr>
          <w:rFonts w:hint="eastAsia" w:ascii="黑体" w:hAnsi="黑体" w:eastAsia="黑体" w:cs="Times New Roman"/>
          <w:bCs/>
          <w:color w:val="000000" w:themeColor="text1"/>
          <w:kern w:val="44"/>
          <w:sz w:val="36"/>
          <w:szCs w:val="36"/>
          <w:highlight w:val="none"/>
          <w14:textFill>
            <w14:solidFill>
              <w14:schemeClr w14:val="tx1"/>
            </w14:solidFill>
          </w14:textFill>
        </w:rPr>
        <w:t>成本专项管理</w:t>
      </w:r>
      <w:bookmarkEnd w:id="38"/>
    </w:p>
    <w:p w14:paraId="478C669E">
      <w:pPr>
        <w:tabs>
          <w:tab w:val="left" w:pos="900"/>
        </w:tabs>
        <w:spacing w:line="360" w:lineRule="auto"/>
        <w:jc w:val="center"/>
        <w:outlineLvl w:val="1"/>
        <w:rPr>
          <w:rFonts w:ascii="楷体" w:hAnsi="楷体" w:eastAsia="楷体" w:cs="楷体"/>
          <w:b/>
          <w:bCs/>
          <w:color w:val="000000" w:themeColor="text1"/>
          <w:sz w:val="32"/>
          <w:szCs w:val="32"/>
          <w:highlight w:val="none"/>
          <w14:textFill>
            <w14:solidFill>
              <w14:schemeClr w14:val="tx1"/>
            </w14:solidFill>
          </w14:textFill>
        </w:rPr>
      </w:pPr>
      <w:bookmarkStart w:id="39" w:name="_Toc32047"/>
      <w:bookmarkStart w:id="40" w:name="_Toc31490"/>
      <w:r>
        <w:rPr>
          <w:rFonts w:hint="eastAsia" w:ascii="楷体" w:hAnsi="楷体" w:eastAsia="楷体" w:cs="楷体"/>
          <w:b/>
          <w:bCs/>
          <w:color w:val="000000" w:themeColor="text1"/>
          <w:sz w:val="32"/>
          <w:szCs w:val="32"/>
          <w:highlight w:val="none"/>
          <w14:textFill>
            <w14:solidFill>
              <w14:schemeClr w14:val="tx1"/>
            </w14:solidFill>
          </w14:textFill>
        </w:rPr>
        <w:t>第一节  网络电费专项管理</w:t>
      </w:r>
      <w:bookmarkEnd w:id="39"/>
      <w:bookmarkEnd w:id="40"/>
    </w:p>
    <w:p w14:paraId="53E9981E">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网络电费主要是</w:t>
      </w:r>
      <w:r>
        <w:rPr>
          <w:rFonts w:hint="eastAsia" w:ascii="仿宋_GB2312" w:hAnsi="仿宋_GB2312" w:eastAsia="仿宋_GB2312" w:cs="仿宋_GB2312"/>
          <w:color w:val="000000" w:themeColor="text1"/>
          <w:sz w:val="32"/>
          <w:szCs w:val="32"/>
          <w:highlight w:val="none"/>
          <w14:textFill>
            <w14:solidFill>
              <w14:schemeClr w14:val="tx1"/>
            </w14:solidFill>
          </w14:textFill>
        </w:rPr>
        <w:t>数据中心、通信枢纽</w:t>
      </w:r>
      <w:r>
        <w:rPr>
          <w:rFonts w:hint="eastAsia" w:ascii="仿宋_GB2312" w:hAnsi="仿宋_GB2312" w:eastAsia="仿宋_GB2312" w:cs="仿宋_GB2312"/>
          <w:color w:val="auto"/>
          <w:sz w:val="32"/>
          <w:szCs w:val="32"/>
          <w:highlight w:val="none"/>
        </w:rPr>
        <w:t>、汇聚及传输站点、基站、室分及WLAN站点、家客集客站点、IDC机房等站点设备运行中产生的电费。</w:t>
      </w:r>
    </w:p>
    <w:p w14:paraId="12A46787">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网络电费开展嵌入式风险防控，要符合“业务执行、业务稽核、业务支付相分离”原则。其中，业务执行包括合同谈判、现场核查、物业协调、关系承接、票据获取、账单获取，使用网络成本管理系统开展基础信息录入（含合同补录、电表创建、报账点创建等）、报账及计提录入、汇总推送，财务系统报账申请等工作；业务稽核包括合同信息稽核、报账点稽核、缴费稽核、计提稽核等稽核工作；业务支付指财务人员审核、支付网络电费的相关工作。</w:t>
      </w:r>
    </w:p>
    <w:p w14:paraId="3E7DE5A3">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各地市应加强网络电费基础信息管理，</w:t>
      </w:r>
      <w:r>
        <w:rPr>
          <w:rFonts w:hint="eastAsia" w:ascii="仿宋_GB2312" w:hAnsi="仿宋_GB2312" w:eastAsia="仿宋_GB2312" w:cs="仿宋_GB2312"/>
          <w:color w:val="auto"/>
          <w:sz w:val="32"/>
          <w:szCs w:val="32"/>
          <w:highlight w:val="none"/>
        </w:rPr>
        <w:t>包括站点编码、站点名称、站型、站点供电方式、计量电表信息、分摊比例、站点状态、电费单价、电损计算方式、用电合同起止时间、缴费方式、支付周期、供电业主信息、电费支付账户信息等。</w:t>
      </w:r>
    </w:p>
    <w:p w14:paraId="0036A217">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从源头管控转供电增量，</w:t>
      </w:r>
      <w:r>
        <w:rPr>
          <w:rFonts w:hint="eastAsia" w:ascii="仿宋_GB2312" w:hAnsi="仿宋_GB2312" w:eastAsia="仿宋_GB2312" w:cs="仿宋_GB2312"/>
          <w:color w:val="auto"/>
          <w:sz w:val="32"/>
          <w:szCs w:val="32"/>
          <w:highlight w:val="none"/>
        </w:rPr>
        <w:t>新建站点或设备用电方面应优先采用直供电（电网公司直接供电或执行当地政府标准的发电企业直接供电）方式接入</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新建物理站直供电比例不低于90%。各地</w:t>
      </w:r>
      <w:r>
        <w:rPr>
          <w:rFonts w:hint="eastAsia" w:ascii="仿宋_GB2312" w:hAnsi="仿宋_GB2312" w:eastAsia="仿宋_GB2312" w:cs="仿宋_GB2312"/>
          <w:color w:val="000000" w:themeColor="text1"/>
          <w:sz w:val="32"/>
          <w:szCs w:val="32"/>
          <w:highlight w:val="none"/>
          <w14:textFill>
            <w14:solidFill>
              <w14:schemeClr w14:val="tx1"/>
            </w14:solidFill>
          </w14:textFill>
        </w:rPr>
        <w:t>网络部门需配合规建部门，从勘察设计环节起做好新增转供电管控，并强化入网验收</w:t>
      </w:r>
      <w:r>
        <w:rPr>
          <w:rFonts w:hint="eastAsia" w:ascii="仿宋_GB2312" w:hAnsi="仿宋_GB2312" w:eastAsia="仿宋_GB2312" w:cs="仿宋_GB2312"/>
          <w:color w:val="auto"/>
          <w:sz w:val="32"/>
          <w:szCs w:val="32"/>
          <w:highlight w:val="none"/>
        </w:rPr>
        <w:t>。</w:t>
      </w:r>
    </w:p>
    <w:p w14:paraId="3BCF1C07">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用电合同中，对于直供电的情况，应按照供电局的价格执行；对于转供电的情况，应参考当地供电局电价与业主进行协商。原则上，转供电电费单价不应超过当地供电公司浮动电价上限值50%。转供电协议合同周期原则上不能超过5年，若确需签订长时间合同，需经过地市分管或相应层级的领导呈批同意。</w:t>
      </w:r>
    </w:p>
    <w:p w14:paraId="1E1223BE">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kern w:val="44"/>
          <w:sz w:val="32"/>
          <w:szCs w:val="32"/>
          <w:highlight w:val="none"/>
        </w:rPr>
        <w:t>各级业务执</w:t>
      </w:r>
      <w:r>
        <w:rPr>
          <w:rFonts w:hint="eastAsia" w:ascii="仿宋_GB2312" w:hAnsi="仿宋_GB2312" w:eastAsia="仿宋_GB2312" w:cs="仿宋_GB2312"/>
          <w:color w:val="auto"/>
          <w:sz w:val="32"/>
          <w:szCs w:val="32"/>
          <w:highlight w:val="none"/>
        </w:rPr>
        <w:t>行单位</w:t>
      </w:r>
      <w:r>
        <w:rPr>
          <w:rFonts w:hint="eastAsia" w:ascii="仿宋_GB2312" w:hAnsi="仿宋_GB2312" w:eastAsia="仿宋_GB2312" w:cs="仿宋_GB2312"/>
          <w:color w:val="auto"/>
          <w:kern w:val="44"/>
          <w:sz w:val="32"/>
          <w:szCs w:val="32"/>
          <w:highlight w:val="none"/>
        </w:rPr>
        <w:t>在网络用电合同</w:t>
      </w:r>
      <w:r>
        <w:rPr>
          <w:rFonts w:hint="eastAsia" w:ascii="仿宋_GB2312" w:hAnsi="仿宋_GB2312" w:eastAsia="仿宋_GB2312" w:cs="仿宋_GB2312"/>
          <w:color w:val="auto"/>
          <w:kern w:val="44"/>
          <w:sz w:val="32"/>
          <w:szCs w:val="32"/>
          <w:highlight w:val="none"/>
          <w:lang w:eastAsia="zh-CN"/>
        </w:rPr>
        <w:t>（</w:t>
      </w:r>
      <w:r>
        <w:rPr>
          <w:rFonts w:hint="eastAsia" w:ascii="仿宋_GB2312" w:hAnsi="仿宋_GB2312" w:eastAsia="仿宋_GB2312" w:cs="仿宋_GB2312"/>
          <w:color w:val="auto"/>
          <w:kern w:val="44"/>
          <w:sz w:val="32"/>
          <w:szCs w:val="32"/>
          <w:highlight w:val="none"/>
          <w:lang w:val="en-US" w:eastAsia="zh-CN"/>
        </w:rPr>
        <w:t>新建、续签</w:t>
      </w:r>
      <w:r>
        <w:rPr>
          <w:rFonts w:hint="eastAsia" w:ascii="仿宋_GB2312" w:hAnsi="仿宋_GB2312" w:eastAsia="仿宋_GB2312" w:cs="仿宋_GB2312"/>
          <w:color w:val="auto"/>
          <w:kern w:val="44"/>
          <w:sz w:val="32"/>
          <w:szCs w:val="32"/>
          <w:highlight w:val="none"/>
          <w:lang w:eastAsia="zh-CN"/>
        </w:rPr>
        <w:t>）</w:t>
      </w:r>
      <w:r>
        <w:rPr>
          <w:rFonts w:hint="eastAsia" w:ascii="仿宋_GB2312" w:hAnsi="仿宋_GB2312" w:eastAsia="仿宋_GB2312" w:cs="仿宋_GB2312"/>
          <w:color w:val="auto"/>
          <w:kern w:val="44"/>
          <w:sz w:val="32"/>
          <w:szCs w:val="32"/>
          <w:highlight w:val="none"/>
        </w:rPr>
        <w:t>谈判决策时，应通过省内网络成本管理系统发起电价分级审批流程。</w:t>
      </w:r>
      <w:r>
        <w:rPr>
          <w:rFonts w:hint="eastAsia" w:ascii="仿宋_GB2312" w:hAnsi="仿宋_GB2312" w:eastAsia="仿宋_GB2312" w:cs="仿宋_GB2312"/>
          <w:color w:val="auto"/>
          <w:sz w:val="32"/>
          <w:szCs w:val="32"/>
          <w:highlight w:val="none"/>
        </w:rPr>
        <w:t>当电费单价超出当地供电公司浮动电价上限值50%时，地市公司网络部门分管经理或区县公司分管经理应参与谈判</w:t>
      </w:r>
      <w:r>
        <w:rPr>
          <w:rFonts w:hint="eastAsia" w:ascii="仿宋_GB2312" w:hAnsi="仿宋_GB2312" w:eastAsia="仿宋_GB2312" w:cs="仿宋_GB2312"/>
          <w:color w:val="auto"/>
          <w:sz w:val="32"/>
          <w:szCs w:val="32"/>
          <w:highlight w:val="none"/>
          <w:lang w:eastAsia="zh-CN"/>
        </w:rPr>
        <w:t>（其中新建站点由工程建设部门分管经理参与谈判）</w:t>
      </w:r>
      <w:r>
        <w:rPr>
          <w:rFonts w:hint="eastAsia" w:ascii="仿宋_GB2312" w:hAnsi="仿宋_GB2312" w:eastAsia="仿宋_GB2312" w:cs="仿宋_GB2312"/>
          <w:color w:val="auto"/>
          <w:sz w:val="32"/>
          <w:szCs w:val="32"/>
          <w:highlight w:val="none"/>
        </w:rPr>
        <w:t>，并将站点电价请示呈批至省公司电费管理团队审核同意后执行。当电费单价超出当地供电公司浮动电价上限值75%时，应通过省公司电费管理专业室经理、</w:t>
      </w:r>
      <w:r>
        <w:rPr>
          <w:rFonts w:hint="eastAsia" w:ascii="仿宋_GB2312" w:hAnsi="仿宋_GB2312" w:eastAsia="仿宋_GB2312" w:cs="仿宋_GB2312"/>
          <w:color w:val="auto"/>
          <w:sz w:val="32"/>
          <w:szCs w:val="32"/>
          <w:highlight w:val="none"/>
          <w:lang w:eastAsia="zh-CN"/>
        </w:rPr>
        <w:t>相关</w:t>
      </w:r>
      <w:r>
        <w:rPr>
          <w:rFonts w:hint="eastAsia" w:ascii="仿宋_GB2312" w:hAnsi="仿宋_GB2312" w:eastAsia="仿宋_GB2312" w:cs="仿宋_GB2312"/>
          <w:color w:val="auto"/>
          <w:sz w:val="32"/>
          <w:szCs w:val="32"/>
          <w:highlight w:val="none"/>
        </w:rPr>
        <w:t>部门分管领导审核同意后执行。当电费单价超出当地供电公司浮动电价上限值100%时，地市公司分管领导应参与指导谈判，并应通过省公司分管领导审核同意后执行。</w:t>
      </w:r>
    </w:p>
    <w:p w14:paraId="1ABA514A">
      <w:pPr>
        <w:numPr>
          <w:ilvl w:val="0"/>
          <w:numId w:val="0"/>
        </w:numPr>
        <w:tabs>
          <w:tab w:val="left" w:pos="900"/>
        </w:tabs>
        <w:spacing w:line="360" w:lineRule="auto"/>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铁塔公司或三方铁塔公司转供电站点应参照自有站点执行单价分级审批。</w:t>
      </w:r>
    </w:p>
    <w:p w14:paraId="471210E6">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kern w:val="44"/>
          <w:sz w:val="32"/>
          <w:szCs w:val="32"/>
          <w:highlight w:val="none"/>
        </w:rPr>
      </w:pPr>
      <w:r>
        <w:rPr>
          <w:rFonts w:hint="eastAsia" w:ascii="仿宋_GB2312" w:hAnsi="仿宋_GB2312" w:eastAsia="仿宋_GB2312" w:cs="仿宋_GB2312"/>
          <w:color w:val="auto"/>
          <w:kern w:val="44"/>
          <w:sz w:val="32"/>
          <w:szCs w:val="32"/>
          <w:highlight w:val="none"/>
        </w:rPr>
        <w:t>工程建设部门如有新增电费信息的，由工程建设部门负责发起电费信息交接，将相关用电资料准确、完整地交接给维护部门。用电接维相关资料包括转供电站点电价谈判记录、站点基础信息、站点供电方式、计量电表信息、电费单价、缴费方式、缴费周期、供应商信息、符合法律规定的正式用电合同、已产生的电费报账信息等。</w:t>
      </w:r>
    </w:p>
    <w:p w14:paraId="7C75EBDB">
      <w:pPr>
        <w:numPr>
          <w:ilvl w:val="0"/>
          <w:numId w:val="0"/>
        </w:numPr>
        <w:tabs>
          <w:tab w:val="left" w:pos="900"/>
        </w:tabs>
        <w:spacing w:line="360" w:lineRule="auto"/>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网络部门、工程建设部门共同负责电费首次报账工作，网络部门定期将首次报账发现问题反馈至工程建设部门，由工程建设部门负责对问题进行跟踪、整改。</w:t>
      </w:r>
    </w:p>
    <w:p w14:paraId="1A06296C">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kern w:val="44"/>
          <w:sz w:val="32"/>
          <w:szCs w:val="32"/>
          <w:highlight w:val="none"/>
          <w:lang w:eastAsia="zh-CN"/>
        </w:rPr>
        <w:t>各地市</w:t>
      </w:r>
      <w:r>
        <w:rPr>
          <w:rFonts w:hint="eastAsia" w:ascii="仿宋_GB2312" w:hAnsi="仿宋_GB2312" w:eastAsia="仿宋_GB2312" w:cs="仿宋_GB2312"/>
          <w:color w:val="auto"/>
          <w:kern w:val="44"/>
          <w:sz w:val="32"/>
          <w:szCs w:val="32"/>
          <w:highlight w:val="none"/>
        </w:rPr>
        <w:t>应保证电量计量设备完好，确保电量计量精准。新建电表时，</w:t>
      </w:r>
      <w:r>
        <w:rPr>
          <w:rFonts w:hint="eastAsia" w:ascii="仿宋_GB2312" w:hAnsi="仿宋_GB2312" w:eastAsia="仿宋_GB2312" w:cs="仿宋_GB2312"/>
          <w:color w:val="auto"/>
          <w:kern w:val="44"/>
          <w:sz w:val="32"/>
          <w:szCs w:val="32"/>
          <w:highlight w:val="none"/>
          <w:lang w:eastAsia="zh-CN"/>
        </w:rPr>
        <w:t>各地市</w:t>
      </w:r>
      <w:r>
        <w:rPr>
          <w:rFonts w:hint="eastAsia" w:ascii="仿宋_GB2312" w:hAnsi="仿宋_GB2312" w:eastAsia="仿宋_GB2312" w:cs="仿宋_GB2312"/>
          <w:color w:val="auto"/>
          <w:kern w:val="44"/>
          <w:sz w:val="32"/>
          <w:szCs w:val="32"/>
          <w:highlight w:val="none"/>
        </w:rPr>
        <w:t>应在网络成本管理系统上传电表照片或供电公司证明等材料，确保电表编码与现场电表标识保持一致，更换电表时，需上传新旧电表对应材料信息。</w:t>
      </w:r>
    </w:p>
    <w:p w14:paraId="0C2A6D5A">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在室分、覆盖延伸、拉远站、微站、WLAN、小区宽带、视频监控点等无计量电表、业主不同意等特殊场景下，需经地市分管或相应层级的领导审批后可采用包干形式。对于以包干方式结算电费的站点，各级电费执行单位应多维度综合分析测算站点耗电量,并以此为依据与供电方谈判确定电费包干价，确保包干价的合理性。</w:t>
      </w:r>
    </w:p>
    <w:p w14:paraId="6928C260">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对于直供电站点，以供电局提供的用电量使用凭证作为计量依据。对于转供电站点，以供电合同、独立电表（含智能电表）读数作为计量依据。在日常管理阶段，应积极推动转供电站点改直供电工作</w:t>
      </w:r>
      <w:r>
        <w:rPr>
          <w:rFonts w:hint="eastAsia" w:ascii="仿宋_GB2312" w:hAnsi="仿宋_GB2312" w:eastAsia="仿宋_GB2312" w:cs="仿宋_GB2312"/>
          <w:color w:val="000000" w:themeColor="text1"/>
          <w:sz w:val="32"/>
          <w:szCs w:val="32"/>
          <w:highlight w:val="none"/>
          <w14:textFill>
            <w14:solidFill>
              <w14:schemeClr w14:val="tx1"/>
            </w14:solidFill>
          </w14:textFill>
        </w:rPr>
        <w:t>或转供电降价工作</w:t>
      </w:r>
      <w:r>
        <w:rPr>
          <w:rFonts w:hint="eastAsia" w:ascii="仿宋_GB2312" w:hAnsi="仿宋_GB2312" w:eastAsia="仿宋_GB2312" w:cs="仿宋_GB2312"/>
          <w:color w:val="auto"/>
          <w:sz w:val="32"/>
          <w:szCs w:val="32"/>
          <w:highlight w:val="none"/>
        </w:rPr>
        <w:t>，加大智能电表的安装比例。</w:t>
      </w:r>
    </w:p>
    <w:p w14:paraId="7343E926">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各地市</w:t>
      </w:r>
      <w:r>
        <w:rPr>
          <w:rFonts w:hint="eastAsia" w:ascii="仿宋_GB2312" w:hAnsi="仿宋_GB2312" w:eastAsia="仿宋_GB2312" w:cs="仿宋_GB2312"/>
          <w:color w:val="auto"/>
          <w:sz w:val="32"/>
          <w:szCs w:val="32"/>
          <w:highlight w:val="none"/>
        </w:rPr>
        <w:t>应明确抄表要求，对于直供电站点，若网络成本管理系统自动稽核通过则无需提供电表照片，若网络成本管理系统自动稽核不通过则需提供电表照片或供电抄表账单明细（供电核查联）等有效凭证。对于未安装智能电表的转供电站点，原则上，应提供电表照片并保持抄表周期与合同结算周期同步。</w:t>
      </w:r>
    </w:p>
    <w:p w14:paraId="5382B112">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对于铁塔共建共享站点，</w:t>
      </w:r>
      <w:r>
        <w:rPr>
          <w:rFonts w:hint="eastAsia" w:ascii="仿宋_GB2312" w:hAnsi="仿宋_GB2312" w:eastAsia="仿宋_GB2312" w:cs="仿宋_GB2312"/>
          <w:color w:val="000000" w:themeColor="text1"/>
          <w:sz w:val="32"/>
          <w:szCs w:val="32"/>
          <w:highlight w:val="none"/>
          <w14:textFill>
            <w14:solidFill>
              <w14:schemeClr w14:val="tx1"/>
            </w14:solidFill>
          </w14:textFill>
        </w:rPr>
        <w:t>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地市</w:t>
      </w:r>
      <w:r>
        <w:rPr>
          <w:rFonts w:hint="eastAsia" w:ascii="仿宋_GB2312" w:hAnsi="仿宋_GB2312" w:eastAsia="仿宋_GB2312" w:cs="仿宋_GB2312"/>
          <w:color w:val="000000" w:themeColor="text1"/>
          <w:sz w:val="32"/>
          <w:szCs w:val="32"/>
          <w:highlight w:val="none"/>
          <w14:textFill>
            <w14:solidFill>
              <w14:schemeClr w14:val="tx1"/>
            </w14:solidFill>
          </w14:textFill>
        </w:rPr>
        <w:t>应</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根据</w:t>
      </w:r>
      <w:r>
        <w:rPr>
          <w:rFonts w:hint="eastAsia" w:ascii="仿宋_GB2312" w:hAnsi="仿宋_GB2312" w:eastAsia="仿宋_GB2312" w:cs="仿宋_GB2312"/>
          <w:color w:val="000000" w:themeColor="text1"/>
          <w:sz w:val="32"/>
          <w:szCs w:val="32"/>
          <w:highlight w:val="none"/>
          <w14:textFill>
            <w14:solidFill>
              <w14:schemeClr w14:val="tx1"/>
            </w14:solidFill>
          </w14:textFill>
        </w:rPr>
        <w:t>结算标准，在结算时提供结算比例依据，对超</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比例</w:t>
      </w:r>
      <w:r>
        <w:rPr>
          <w:rFonts w:hint="eastAsia" w:ascii="仿宋_GB2312" w:hAnsi="仿宋_GB2312" w:eastAsia="仿宋_GB2312" w:cs="仿宋_GB2312"/>
          <w:color w:val="000000" w:themeColor="text1"/>
          <w:sz w:val="32"/>
          <w:szCs w:val="32"/>
          <w:highlight w:val="none"/>
          <w14:textFill>
            <w14:solidFill>
              <w14:schemeClr w14:val="tx1"/>
            </w14:solidFill>
          </w14:textFill>
        </w:rPr>
        <w:t>标准结算</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的情况</w:t>
      </w:r>
      <w:r>
        <w:rPr>
          <w:rFonts w:hint="eastAsia" w:ascii="仿宋_GB2312" w:hAnsi="仿宋_GB2312" w:eastAsia="仿宋_GB2312" w:cs="仿宋_GB2312"/>
          <w:color w:val="000000" w:themeColor="text1"/>
          <w:sz w:val="32"/>
          <w:szCs w:val="32"/>
          <w:highlight w:val="none"/>
          <w14:textFill>
            <w14:solidFill>
              <w14:schemeClr w14:val="tx1"/>
            </w14:solidFill>
          </w14:textFill>
        </w:rPr>
        <w:t>应</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进行</w:t>
      </w:r>
      <w:r>
        <w:rPr>
          <w:rFonts w:hint="eastAsia" w:ascii="仿宋_GB2312" w:hAnsi="仿宋_GB2312" w:eastAsia="仿宋_GB2312" w:cs="仿宋_GB2312"/>
          <w:color w:val="000000" w:themeColor="text1"/>
          <w:sz w:val="32"/>
          <w:szCs w:val="32"/>
          <w:highlight w:val="none"/>
          <w14:textFill>
            <w14:solidFill>
              <w14:schemeClr w14:val="tx1"/>
            </w14:solidFill>
          </w14:textFill>
        </w:rPr>
        <w:t>分级审批</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auto"/>
          <w:sz w:val="32"/>
          <w:szCs w:val="32"/>
          <w:highlight w:val="none"/>
        </w:rPr>
        <w:t>各</w:t>
      </w:r>
      <w:r>
        <w:rPr>
          <w:rFonts w:hint="eastAsia" w:ascii="仿宋_GB2312" w:hAnsi="仿宋_GB2312" w:eastAsia="仿宋_GB2312" w:cs="仿宋_GB2312"/>
          <w:color w:val="auto"/>
          <w:sz w:val="32"/>
          <w:szCs w:val="32"/>
          <w:highlight w:val="none"/>
          <w:lang w:val="en-US" w:eastAsia="zh-CN"/>
        </w:rPr>
        <w:t>地市</w:t>
      </w:r>
      <w:r>
        <w:rPr>
          <w:rFonts w:hint="eastAsia" w:ascii="仿宋_GB2312" w:hAnsi="仿宋_GB2312" w:eastAsia="仿宋_GB2312" w:cs="仿宋_GB2312"/>
          <w:color w:val="auto"/>
          <w:sz w:val="32"/>
          <w:szCs w:val="32"/>
          <w:highlight w:val="none"/>
        </w:rPr>
        <w:t>应推进</w:t>
      </w:r>
      <w:r>
        <w:rPr>
          <w:rFonts w:hint="eastAsia" w:ascii="仿宋_GB2312" w:hAnsi="仿宋_GB2312" w:eastAsia="仿宋_GB2312" w:cs="仿宋_GB2312"/>
          <w:color w:val="auto"/>
          <w:sz w:val="32"/>
          <w:szCs w:val="32"/>
          <w:highlight w:val="none"/>
          <w:lang w:val="en-US" w:eastAsia="zh-CN"/>
        </w:rPr>
        <w:t>铁塔公司</w:t>
      </w:r>
      <w:r>
        <w:rPr>
          <w:rFonts w:hint="eastAsia" w:ascii="仿宋_GB2312" w:hAnsi="仿宋_GB2312" w:eastAsia="仿宋_GB2312" w:cs="仿宋_GB2312"/>
          <w:color w:val="auto"/>
          <w:sz w:val="32"/>
          <w:szCs w:val="32"/>
          <w:highlight w:val="none"/>
        </w:rPr>
        <w:t>安装分</w:t>
      </w:r>
      <w:r>
        <w:rPr>
          <w:rFonts w:hint="eastAsia" w:ascii="仿宋_GB2312" w:hAnsi="仿宋_GB2312" w:eastAsia="仿宋_GB2312" w:cs="仿宋_GB2312"/>
          <w:color w:val="auto"/>
          <w:sz w:val="32"/>
          <w:szCs w:val="32"/>
          <w:highlight w:val="none"/>
          <w:lang w:val="en-US" w:eastAsia="zh-CN"/>
        </w:rPr>
        <w:t>摊</w:t>
      </w:r>
      <w:r>
        <w:rPr>
          <w:rFonts w:hint="eastAsia" w:ascii="仿宋_GB2312" w:hAnsi="仿宋_GB2312" w:eastAsia="仿宋_GB2312" w:cs="仿宋_GB2312"/>
          <w:color w:val="auto"/>
          <w:sz w:val="32"/>
          <w:szCs w:val="32"/>
          <w:highlight w:val="none"/>
        </w:rPr>
        <w:t>计量设备</w:t>
      </w:r>
      <w:r>
        <w:rPr>
          <w:rFonts w:hint="eastAsia" w:ascii="仿宋_GB2312" w:hAnsi="仿宋_GB2312" w:eastAsia="仿宋_GB2312" w:cs="仿宋_GB2312"/>
          <w:color w:val="000000" w:themeColor="text1"/>
          <w:sz w:val="32"/>
          <w:szCs w:val="32"/>
          <w:highlight w:val="none"/>
          <w14:textFill>
            <w14:solidFill>
              <w14:schemeClr w14:val="tx1"/>
            </w14:solidFill>
          </w14:textFill>
        </w:rPr>
        <w:t>（精准计量、分路计量等）</w:t>
      </w:r>
      <w:r>
        <w:rPr>
          <w:rFonts w:hint="eastAsia" w:ascii="仿宋_GB2312" w:hAnsi="仿宋_GB2312" w:eastAsia="仿宋_GB2312" w:cs="仿宋_GB2312"/>
          <w:color w:val="auto"/>
          <w:sz w:val="32"/>
          <w:szCs w:val="32"/>
          <w:highlight w:val="none"/>
        </w:rPr>
        <w:t>，依托系统，优先采用</w:t>
      </w:r>
      <w:r>
        <w:rPr>
          <w:rFonts w:hint="eastAsia" w:ascii="仿宋_GB2312" w:hAnsi="仿宋_GB2312" w:eastAsia="仿宋_GB2312" w:cs="仿宋_GB2312"/>
          <w:color w:val="auto"/>
          <w:sz w:val="32"/>
          <w:szCs w:val="32"/>
          <w:highlight w:val="none"/>
          <w:lang w:val="en-US" w:eastAsia="zh-CN"/>
        </w:rPr>
        <w:t>分摊</w:t>
      </w:r>
      <w:r>
        <w:rPr>
          <w:rFonts w:hint="eastAsia" w:ascii="仿宋_GB2312" w:hAnsi="仿宋_GB2312" w:eastAsia="仿宋_GB2312" w:cs="仿宋_GB2312"/>
          <w:color w:val="auto"/>
          <w:sz w:val="32"/>
          <w:szCs w:val="32"/>
          <w:highlight w:val="none"/>
        </w:rPr>
        <w:t>计量</w:t>
      </w:r>
      <w:r>
        <w:rPr>
          <w:rFonts w:hint="eastAsia" w:ascii="仿宋_GB2312" w:hAnsi="仿宋_GB2312" w:eastAsia="仿宋_GB2312" w:cs="仿宋_GB2312"/>
          <w:color w:val="auto"/>
          <w:sz w:val="32"/>
          <w:szCs w:val="32"/>
          <w:highlight w:val="none"/>
          <w:lang w:val="en-US" w:eastAsia="zh-CN"/>
        </w:rPr>
        <w:t>设备</w:t>
      </w:r>
      <w:r>
        <w:rPr>
          <w:rFonts w:hint="eastAsia" w:ascii="仿宋_GB2312" w:hAnsi="仿宋_GB2312" w:eastAsia="仿宋_GB2312" w:cs="仿宋_GB2312"/>
          <w:color w:val="auto"/>
          <w:sz w:val="32"/>
          <w:szCs w:val="32"/>
          <w:highlight w:val="none"/>
        </w:rPr>
        <w:t>方式计算分摊比例。尚未覆盖分路计量设备的站点，应按现场实际设备数量和设备功耗，共同确认合理的分摊比例。若因分摊比例调整需追溯前期电费，应在后续铁塔电费支付中进行调整，</w:t>
      </w:r>
      <w:r>
        <w:rPr>
          <w:rFonts w:hint="eastAsia" w:ascii="仿宋_GB2312" w:hAnsi="仿宋_GB2312" w:eastAsia="仿宋_GB2312" w:cs="仿宋_GB2312"/>
          <w:color w:val="000000" w:themeColor="text1"/>
          <w:sz w:val="32"/>
          <w:szCs w:val="32"/>
          <w:highlight w:val="none"/>
          <w14:textFill>
            <w14:solidFill>
              <w14:schemeClr w14:val="tx1"/>
            </w14:solidFill>
          </w14:textFill>
        </w:rPr>
        <w:t>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市分</w:t>
      </w:r>
      <w:r>
        <w:rPr>
          <w:rFonts w:hint="eastAsia" w:ascii="仿宋_GB2312" w:hAnsi="仿宋_GB2312" w:eastAsia="仿宋_GB2312" w:cs="仿宋_GB2312"/>
          <w:color w:val="000000" w:themeColor="text1"/>
          <w:sz w:val="32"/>
          <w:szCs w:val="32"/>
          <w:highlight w:val="none"/>
          <w14:textFill>
            <w14:solidFill>
              <w14:schemeClr w14:val="tx1"/>
            </w14:solidFill>
          </w14:textFill>
        </w:rPr>
        <w:t>公司需组织铁塔公司规范</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明确</w:t>
      </w:r>
      <w:r>
        <w:rPr>
          <w:rFonts w:hint="eastAsia" w:ascii="仿宋_GB2312" w:hAnsi="仿宋_GB2312" w:eastAsia="仿宋_GB2312" w:cs="仿宋_GB2312"/>
          <w:color w:val="000000" w:themeColor="text1"/>
          <w:sz w:val="32"/>
          <w:szCs w:val="32"/>
          <w:highlight w:val="none"/>
          <w14:textFill>
            <w14:solidFill>
              <w14:schemeClr w14:val="tx1"/>
            </w14:solidFill>
          </w14:textFill>
        </w:rPr>
        <w:t>接电申请流程，主动告知站点接电变更信息，严禁未经同意接电，</w:t>
      </w:r>
      <w:r>
        <w:rPr>
          <w:rFonts w:hint="eastAsia" w:ascii="仿宋_GB2312" w:hAnsi="仿宋_GB2312" w:eastAsia="仿宋_GB2312" w:cs="仿宋_GB2312"/>
          <w:color w:val="auto"/>
          <w:sz w:val="32"/>
          <w:szCs w:val="32"/>
          <w:highlight w:val="none"/>
        </w:rPr>
        <w:t>同时建立扣罚机制及制订相关细则对非我司原因多付的电费进行扣罚。</w:t>
      </w:r>
    </w:p>
    <w:p w14:paraId="420E3899">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对于其他共建共享站点，需根据合同约定开展电费精细化管控工作。</w:t>
      </w:r>
    </w:p>
    <w:p w14:paraId="7F39348D">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遵照电力行业惯例，对于直供电银行托收（财务与银行、供电公司签订正式托收协议）、直供电统一预付（财务与供电公司签订统一预付协议）、先款后票</w:t>
      </w:r>
      <w:r>
        <w:rPr>
          <w:rFonts w:hint="eastAsia" w:ascii="仿宋_GB2312" w:hAnsi="仿宋_GB2312" w:eastAsia="仿宋_GB2312" w:cs="仿宋_GB2312"/>
          <w:color w:val="auto"/>
          <w:sz w:val="32"/>
          <w:szCs w:val="32"/>
          <w:highlight w:val="none"/>
          <w:lang w:val="en-US" w:eastAsia="zh-CN"/>
        </w:rPr>
        <w:t>等</w:t>
      </w:r>
      <w:r>
        <w:rPr>
          <w:rFonts w:hint="eastAsia" w:ascii="仿宋_GB2312" w:hAnsi="仿宋_GB2312" w:eastAsia="仿宋_GB2312" w:cs="仿宋_GB2312"/>
          <w:color w:val="auto"/>
          <w:sz w:val="32"/>
          <w:szCs w:val="32"/>
          <w:highlight w:val="none"/>
        </w:rPr>
        <w:t>场景，可先在财务报账平台上完成电费支付操作或电费托收报账，后在网络成本管理系统稽核核销。</w:t>
      </w:r>
    </w:p>
    <w:p w14:paraId="47B90FE8">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银行托收、先款后票等电费已产生场景需在费用支付完成后三个月内完成核销。预存、充值卡（含IC卡）等电费未产生的预付场景，需在预付电费实际用电截止日期后三个月内完成核销。</w:t>
      </w:r>
    </w:p>
    <w:p w14:paraId="3F1AEC7E">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对于预存、充值卡类的转供电预付电费站点，各级电费执行单位应以用电合同作为预付电费的依据,并根据站点设备额定功耗估算预付费用，原则上要求预付的电费不能超过三个月。如果预付超三个月的特殊情况，需经地市分管或相应层级的领导审批。预存、充值卡类的预付及核销流程原则上均应通过网络成本管理系统执行。</w:t>
      </w:r>
    </w:p>
    <w:p w14:paraId="78FD410E">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若业主强烈要求我公司在常规付款流程完成前即支付电费，应按照财务允许的预付方式支付。如仍无法解决问题，则通过签署 “三方协议书”模式（业主、移动公司、三方），明确三方公司代缴职责，三方公司账户必须</w:t>
      </w:r>
      <w:r>
        <w:rPr>
          <w:rFonts w:hint="eastAsia" w:ascii="仿宋_GB2312" w:hAnsi="仿宋_GB2312" w:eastAsia="仿宋_GB2312" w:cs="仿宋_GB2312"/>
          <w:color w:val="auto"/>
          <w:sz w:val="32"/>
          <w:szCs w:val="32"/>
          <w:highlight w:val="none"/>
          <w:lang w:val="en-US" w:eastAsia="zh-CN"/>
        </w:rPr>
        <w:t>为</w:t>
      </w:r>
      <w:r>
        <w:rPr>
          <w:rFonts w:hint="eastAsia" w:ascii="仿宋_GB2312" w:hAnsi="仿宋_GB2312" w:eastAsia="仿宋_GB2312" w:cs="仿宋_GB2312"/>
          <w:color w:val="auto"/>
          <w:sz w:val="32"/>
          <w:szCs w:val="32"/>
          <w:highlight w:val="none"/>
        </w:rPr>
        <w:t>三方公司对公账号，防范审计风险。</w:t>
      </w:r>
    </w:p>
    <w:p w14:paraId="6B8ADE67">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电费报账的几类特殊情况，</w:t>
      </w:r>
      <w:r>
        <w:rPr>
          <w:rFonts w:hint="eastAsia" w:ascii="仿宋_GB2312" w:hAnsi="仿宋_GB2312" w:eastAsia="仿宋_GB2312" w:cs="仿宋_GB2312"/>
          <w:color w:val="auto"/>
          <w:sz w:val="32"/>
          <w:szCs w:val="32"/>
          <w:highlight w:val="none"/>
          <w:lang w:val="en-US" w:eastAsia="zh-CN"/>
        </w:rPr>
        <w:t>各级电费执行单位</w:t>
      </w:r>
      <w:r>
        <w:rPr>
          <w:rFonts w:hint="eastAsia" w:ascii="仿宋_GB2312" w:hAnsi="仿宋_GB2312" w:eastAsia="仿宋_GB2312" w:cs="仿宋_GB2312"/>
          <w:color w:val="auto"/>
          <w:sz w:val="32"/>
          <w:szCs w:val="32"/>
          <w:highlight w:val="none"/>
        </w:rPr>
        <w:t>需将相关依据上传至</w:t>
      </w:r>
      <w:r>
        <w:rPr>
          <w:rFonts w:hint="eastAsia" w:ascii="仿宋_GB2312" w:hAnsi="仿宋_GB2312" w:eastAsia="仿宋_GB2312" w:cs="仿宋_GB2312"/>
          <w:color w:val="auto"/>
          <w:sz w:val="32"/>
          <w:szCs w:val="32"/>
          <w:highlight w:val="none"/>
          <w:lang w:val="en-US" w:eastAsia="zh-CN"/>
        </w:rPr>
        <w:t>集团</w:t>
      </w:r>
      <w:r>
        <w:rPr>
          <w:rFonts w:hint="eastAsia" w:ascii="仿宋_GB2312" w:hAnsi="仿宋_GB2312" w:eastAsia="仿宋_GB2312" w:cs="仿宋_GB2312"/>
          <w:color w:val="auto"/>
          <w:sz w:val="32"/>
          <w:szCs w:val="32"/>
          <w:highlight w:val="none"/>
        </w:rPr>
        <w:t>网络成本管理系统作为稽核依据：</w:t>
      </w:r>
    </w:p>
    <w:p w14:paraId="21CB4352">
      <w:pPr>
        <w:numPr>
          <w:ilvl w:val="0"/>
          <w:numId w:val="8"/>
        </w:numPr>
        <w:tabs>
          <w:tab w:val="left" w:pos="900"/>
        </w:tabs>
        <w:spacing w:line="360" w:lineRule="auto"/>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对于原先未签订供电合同的长期未结算电费，原则上补缴周期不超2年,特殊原因补缴周期超2年的，需经地市分管或相应层级的领导审批。</w:t>
      </w:r>
    </w:p>
    <w:p w14:paraId="0AAA5799">
      <w:pPr>
        <w:numPr>
          <w:ilvl w:val="0"/>
          <w:numId w:val="8"/>
        </w:numPr>
        <w:tabs>
          <w:tab w:val="left" w:pos="900"/>
        </w:tabs>
        <w:spacing w:line="360" w:lineRule="auto"/>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对于特殊资源点（综资系统中资源已退网、无对应资源等）的新增及报账均需经地市分管或相应层级的领导审批。新增特殊资源点审批内容至少包括：资源点位置、额定功耗、运行时间、新增原因等。特殊报账审批内容至少包括：报账金额、电费单价、报账周期等信息。</w:t>
      </w:r>
    </w:p>
    <w:p w14:paraId="1AA730C6">
      <w:pPr>
        <w:numPr>
          <w:ilvl w:val="0"/>
          <w:numId w:val="8"/>
        </w:numPr>
        <w:tabs>
          <w:tab w:val="left" w:pos="900"/>
        </w:tabs>
        <w:spacing w:line="360" w:lineRule="auto"/>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对于结算期始时间早于站点入网时间及预付超三个月的电费结算，需上传相关说明文件至网络成本管理系统作为稽核依据，并经地市分管或相应层级的领导审批。</w:t>
      </w:r>
      <w:r>
        <w:rPr>
          <w:rFonts w:hint="eastAsia" w:ascii="仿宋_GB2312" w:hAnsi="仿宋_GB2312" w:eastAsia="仿宋_GB2312" w:cs="仿宋_GB2312"/>
          <w:color w:val="000000" w:themeColor="text1"/>
          <w:sz w:val="32"/>
          <w:szCs w:val="32"/>
          <w:highlight w:val="none"/>
          <w14:textFill>
            <w14:solidFill>
              <w14:schemeClr w14:val="tx1"/>
            </w14:solidFill>
          </w14:textFill>
        </w:rPr>
        <w:t>原则上，结算期终晚于站点退网时间的电费不予以报账。</w:t>
      </w:r>
    </w:p>
    <w:p w14:paraId="34517A09">
      <w:pPr>
        <w:numPr>
          <w:ilvl w:val="0"/>
          <w:numId w:val="8"/>
        </w:numPr>
        <w:tabs>
          <w:tab w:val="left" w:pos="900"/>
        </w:tabs>
        <w:spacing w:line="360" w:lineRule="auto"/>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对于在电费管理中出现的(</w:t>
      </w:r>
      <w:r>
        <w:rPr>
          <w:rFonts w:hint="eastAsia" w:ascii="仿宋_GB2312" w:hAnsi="仿宋_GB2312" w:eastAsia="仿宋_GB2312" w:cs="仿宋_GB2312"/>
          <w:color w:val="auto"/>
          <w:sz w:val="32"/>
          <w:szCs w:val="32"/>
          <w:highlight w:val="none"/>
          <w:lang w:val="en-US" w:eastAsia="zh-CN"/>
        </w:rPr>
        <w:t>资管录入不及时、</w:t>
      </w:r>
      <w:r>
        <w:rPr>
          <w:rFonts w:hint="eastAsia" w:ascii="仿宋_GB2312" w:hAnsi="仿宋_GB2312" w:eastAsia="仿宋_GB2312" w:cs="仿宋_GB2312"/>
          <w:color w:val="auto"/>
          <w:sz w:val="32"/>
          <w:szCs w:val="32"/>
          <w:highlight w:val="none"/>
        </w:rPr>
        <w:t>续签不及时、业主临时要求涨价、业主临时要求提前支付、因业主原因导致的电费补缴、超长周期支付)等特殊情况, 可根据涉及的金额大小</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按照有关流程呈批至地市公司领导层面审批或上三重一大决策</w:t>
      </w:r>
      <w:r>
        <w:rPr>
          <w:rFonts w:hint="eastAsia" w:ascii="仿宋_GB2312" w:hAnsi="仿宋_GB2312" w:eastAsia="仿宋_GB2312" w:cs="仿宋_GB2312"/>
          <w:color w:val="auto"/>
          <w:sz w:val="32"/>
          <w:szCs w:val="32"/>
          <w:highlight w:val="none"/>
          <w:lang w:eastAsia="zh-CN"/>
        </w:rPr>
        <w:t>。</w:t>
      </w:r>
    </w:p>
    <w:p w14:paraId="4615A5E8">
      <w:pPr>
        <w:numPr>
          <w:ilvl w:val="0"/>
          <w:numId w:val="8"/>
        </w:numPr>
        <w:tabs>
          <w:tab w:val="left" w:pos="900"/>
        </w:tabs>
        <w:spacing w:line="360" w:lineRule="auto"/>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对于涉及合同条款变更的，比如业主临时要求涨价、业主临时要求提前支付、业主信息改变等特殊情况，除呈批件或三重一大决策外，仍需签订补充协议。</w:t>
      </w:r>
      <w:bookmarkStart w:id="41" w:name="_Hlk90544808"/>
      <w:r>
        <w:rPr>
          <w:rFonts w:hint="eastAsia" w:ascii="仿宋_GB2312" w:hAnsi="仿宋_GB2312" w:eastAsia="仿宋_GB2312" w:cs="仿宋_GB2312"/>
          <w:color w:val="auto"/>
          <w:sz w:val="32"/>
          <w:szCs w:val="32"/>
          <w:highlight w:val="none"/>
        </w:rPr>
        <w:t>相关信息应在集团和省内网络成本管理系统上进行信息变更。</w:t>
      </w:r>
      <w:bookmarkEnd w:id="41"/>
    </w:p>
    <w:p w14:paraId="37F2324D">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各级电费执行单位应将清理低效无效在网设备纳入日常管理工作中，定期开展高耗能、老旧设备退网下电工作，并做好退网下电前后耗电量、费用变化评估，推动资产清理工作常态化，节省网络电费成本开支，切实做到提质增效。</w:t>
      </w:r>
    </w:p>
    <w:p w14:paraId="29C1BE4F">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各级网络部门应深入贯彻绿色新发展理念，持续推进各项网络节能降耗举措扎实落地，提升网络设备用电效能。加强各类型网络设备用电的能耗监测，提升能耗精细化管理能力。省网络部</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负责</w:t>
      </w:r>
      <w:r>
        <w:rPr>
          <w:rFonts w:hint="eastAsia" w:ascii="仿宋_GB2312" w:hAnsi="仿宋_GB2312" w:eastAsia="仿宋_GB2312" w:cs="仿宋_GB2312"/>
          <w:color w:val="000000" w:themeColor="text1"/>
          <w:sz w:val="32"/>
          <w:szCs w:val="32"/>
          <w:highlight w:val="none"/>
          <w14:textFill>
            <w14:solidFill>
              <w14:schemeClr w14:val="tx1"/>
            </w14:solidFill>
          </w14:textFill>
        </w:rPr>
        <w:t>绿电管理</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相关</w:t>
      </w:r>
      <w:r>
        <w:rPr>
          <w:rFonts w:hint="eastAsia" w:ascii="仿宋_GB2312" w:hAnsi="仿宋_GB2312" w:eastAsia="仿宋_GB2312" w:cs="仿宋_GB2312"/>
          <w:color w:val="000000" w:themeColor="text1"/>
          <w:sz w:val="32"/>
          <w:szCs w:val="32"/>
          <w:highlight w:val="none"/>
          <w14:textFill>
            <w14:solidFill>
              <w14:schemeClr w14:val="tx1"/>
            </w14:solidFill>
          </w14:textFill>
        </w:rPr>
        <w:t>工作，依托系统实施全省绿电统一管理。积极推进绿色低碳工作，在平衡用电成本的基础上积极使用绿电。</w:t>
      </w:r>
    </w:p>
    <w:p w14:paraId="2D51402C">
      <w:pPr>
        <w:numPr>
          <w:ilvl w:val="0"/>
          <w:numId w:val="0"/>
        </w:numPr>
        <w:tabs>
          <w:tab w:val="left" w:pos="900"/>
        </w:tabs>
        <w:spacing w:line="360" w:lineRule="auto"/>
        <w:ind w:leftChars="200"/>
        <w:rPr>
          <w:rFonts w:hint="eastAsia" w:ascii="仿宋_GB2312" w:hAnsi="仿宋_GB2312" w:eastAsia="仿宋_GB2312" w:cs="仿宋_GB2312"/>
          <w:color w:val="000000" w:themeColor="text1"/>
          <w:sz w:val="32"/>
          <w:szCs w:val="32"/>
          <w:highlight w:val="none"/>
          <w14:textFill>
            <w14:solidFill>
              <w14:schemeClr w14:val="tx1"/>
            </w14:solidFill>
          </w14:textFill>
        </w:rPr>
      </w:pPr>
    </w:p>
    <w:p w14:paraId="7CE48198">
      <w:pPr>
        <w:tabs>
          <w:tab w:val="left" w:pos="900"/>
        </w:tabs>
        <w:spacing w:line="360" w:lineRule="auto"/>
        <w:jc w:val="center"/>
        <w:outlineLvl w:val="1"/>
        <w:rPr>
          <w:rFonts w:hint="eastAsia" w:ascii="楷体" w:hAnsi="楷体" w:eastAsia="楷体" w:cs="楷体"/>
          <w:b/>
          <w:bCs/>
          <w:color w:val="000000" w:themeColor="text1"/>
          <w:sz w:val="32"/>
          <w:szCs w:val="32"/>
          <w:highlight w:val="none"/>
          <w14:textFill>
            <w14:solidFill>
              <w14:schemeClr w14:val="tx1"/>
            </w14:solidFill>
          </w14:textFill>
        </w:rPr>
      </w:pPr>
      <w:bookmarkStart w:id="42" w:name="_Toc19546"/>
      <w:bookmarkStart w:id="43" w:name="_Toc3357"/>
      <w:r>
        <w:rPr>
          <w:rFonts w:hint="eastAsia" w:ascii="楷体" w:hAnsi="楷体" w:eastAsia="楷体" w:cs="楷体"/>
          <w:b/>
          <w:bCs/>
          <w:color w:val="000000" w:themeColor="text1"/>
          <w:sz w:val="32"/>
          <w:szCs w:val="32"/>
          <w:highlight w:val="none"/>
          <w14:textFill>
            <w14:solidFill>
              <w14:schemeClr w14:val="tx1"/>
            </w14:solidFill>
          </w14:textFill>
        </w:rPr>
        <w:t>第二节  站点租赁费专项管理</w:t>
      </w:r>
      <w:bookmarkEnd w:id="42"/>
      <w:bookmarkEnd w:id="43"/>
    </w:p>
    <w:p w14:paraId="708CB2AA">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站点租赁费主要是用于各类通信设备安装运行、非公司自有产权站点发生房屋和场地租赁的费用。</w:t>
      </w:r>
    </w:p>
    <w:p w14:paraId="0ED4469E">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各地市应加强站点租赁费基础信息管理，</w:t>
      </w:r>
      <w:r>
        <w:rPr>
          <w:rFonts w:hint="eastAsia" w:ascii="仿宋_GB2312" w:hAnsi="仿宋_GB2312" w:eastAsia="仿宋_GB2312" w:cs="仿宋_GB2312"/>
          <w:color w:val="auto"/>
          <w:sz w:val="32"/>
          <w:szCs w:val="32"/>
          <w:highlight w:val="none"/>
        </w:rPr>
        <w:t>包括站点编码、站点名称、站型、租赁房屋位置、租赁面积、站点状态、租赁价格、租赁起止时间、业主信息、付款周期、租金支付情况等。</w:t>
      </w:r>
    </w:p>
    <w:p w14:paraId="72D6F510">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各地市在站点租赁谈判决策时应根据以下因素结合本地实际情况制定租赁分场景、区域指导价格：1、当地站点所属区域周边的房屋租赁市场价格；2、根据存量站点租赁价格提供现有基站租赁平均价格；3、站点所在区域其他运营商已签订的租赁合同平均价格；4、政府相关部门和权威网站的房价数据以及CPI涨幅、银行存款利息等信息。原则上，各地市区域指导价更新周期不超过三年。</w:t>
      </w:r>
    </w:p>
    <w:p w14:paraId="399079E9">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新建站点租赁应在满足网络需求前提下优先选择低成本建设方案</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针对合同转签场景（与非业主的第三方签订租赁合同），合同租金不应高于各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地市</w:t>
      </w:r>
      <w:r>
        <w:rPr>
          <w:rFonts w:hint="eastAsia" w:ascii="仿宋_GB2312" w:hAnsi="仿宋_GB2312" w:eastAsia="仿宋_GB2312" w:cs="仿宋_GB2312"/>
          <w:color w:val="000000" w:themeColor="text1"/>
          <w:sz w:val="32"/>
          <w:szCs w:val="32"/>
          <w:highlight w:val="none"/>
          <w14:textFill>
            <w14:solidFill>
              <w14:schemeClr w14:val="tx1"/>
            </w14:solidFill>
          </w14:textFill>
        </w:rPr>
        <w:t>定义的最高指导价。</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各地市</w:t>
      </w:r>
      <w:r>
        <w:rPr>
          <w:rFonts w:hint="eastAsia" w:ascii="仿宋_GB2312" w:hAnsi="仿宋_GB2312" w:eastAsia="仿宋_GB2312" w:cs="仿宋_GB2312"/>
          <w:color w:val="000000" w:themeColor="text1"/>
          <w:sz w:val="32"/>
          <w:szCs w:val="32"/>
          <w:highlight w:val="none"/>
          <w14:textFill>
            <w14:solidFill>
              <w14:schemeClr w14:val="tx1"/>
            </w14:solidFill>
          </w14:textFill>
        </w:rPr>
        <w:t>网络部门需协同规建部门做好新增转签站点源头管控，对于远高于市场租金水平的站点租赁场景，应开展联合会审，建立分级审批制度。转签期限不得超过第三方与业主直签的期限，第三方供应商原则上应提供合规产权证明或转租文件，如无法提供需经过地市分管或相应层级的领导审批</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14:paraId="0CF95E36">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各地市在存量站点租赁谈判决策时，应通过省内网络成本管理系统发起租金分级审批流程。原则上，存量站点租金不应超过区域指导价30%或上期合同单价30%。单价相较区域指导价和上期合同单价涨幅超过30%时，应呈批至省公司网络租赁费管理员审核同意后执行。单价相较区域指导价和上期合同单价涨幅超过50%时，地市公司网络部门分管经理或区县公司分管经理应参与谈判，并呈批至省公司网络租赁费专业室经理及网络部门分管领导审核同意后执行。单价相较区域指导价和上期合同单价涨幅超过100%时，地市公司分管领导应参与指导谈判，并呈批至省公司分管领导审核同意后执行。</w:t>
      </w:r>
    </w:p>
    <w:p w14:paraId="4D044F74">
      <w:pPr>
        <w:numPr>
          <w:ilvl w:val="0"/>
          <w:numId w:val="7"/>
        </w:numPr>
        <w:tabs>
          <w:tab w:val="left" w:pos="900"/>
        </w:tabs>
        <w:spacing w:line="360" w:lineRule="auto"/>
        <w:ind w:left="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原则上合同租期不能超过法定20年，付款周期不能超过2年，若超过需经过地市分管或相应层级的领导呈批同意。</w:t>
      </w:r>
    </w:p>
    <w:p w14:paraId="2D46D258">
      <w:pPr>
        <w:numPr>
          <w:ilvl w:val="0"/>
          <w:numId w:val="7"/>
        </w:numPr>
        <w:tabs>
          <w:tab w:val="left" w:pos="900"/>
        </w:tabs>
        <w:spacing w:line="360" w:lineRule="auto"/>
        <w:ind w:left="0" w:firstLine="640" w:firstLineChars="200"/>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32"/>
          <w:szCs w:val="32"/>
          <w:highlight w:val="none"/>
        </w:rPr>
        <w:t>工程建设部门负责接维前站点的租赁费管理和首次报账工作，并在接维验收中将相关租赁资料准确、完整地进行交接。验收通过后，网络部门负责接维后的站点租赁费管理。站点租赁接维相关资料包括租赁站点年租金谈判记录、站点基础信息、付款周期、业主信息及付款账户信息、符合法律规定的正式租赁合同、已产生的租赁费报账信息等。</w:t>
      </w:r>
    </w:p>
    <w:p w14:paraId="3A12C1B8">
      <w:pPr>
        <w:numPr>
          <w:ilvl w:val="0"/>
          <w:numId w:val="7"/>
        </w:numPr>
        <w:tabs>
          <w:tab w:val="left" w:pos="900"/>
        </w:tabs>
        <w:spacing w:line="360" w:lineRule="auto"/>
        <w:ind w:left="0" w:firstLine="640" w:firstLineChars="200"/>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32"/>
          <w:szCs w:val="32"/>
          <w:highlight w:val="none"/>
        </w:rPr>
        <w:t>各级租赁费执行单位在站点租赁费管理中应及时跟踪站点状态。对于接维后连续超过3个月无业务量且未恢复站点（仅针对无线基站、室分等产生流量类型），要结合站点需求情况制定相应管理措施，对于确认不再使用站点，应及时终止合同，清算租赁费用，并在相关系统中更新状态，避免支付无效费用；对于需要继续保留站点，应留存相关支撑证明材料。</w:t>
      </w:r>
    </w:p>
    <w:p w14:paraId="65BCA4D2">
      <w:pPr>
        <w:numPr>
          <w:ilvl w:val="0"/>
          <w:numId w:val="0"/>
        </w:numPr>
        <w:tabs>
          <w:tab w:val="left" w:pos="900"/>
        </w:tabs>
        <w:spacing w:line="360" w:lineRule="auto"/>
        <w:ind w:leftChars="200"/>
        <w:rPr>
          <w:rFonts w:ascii="仿宋_GB2312" w:hAnsi="仿宋_GB2312" w:eastAsia="仿宋_GB2312" w:cs="仿宋_GB2312"/>
          <w:color w:val="000000" w:themeColor="text1"/>
          <w:sz w:val="28"/>
          <w:szCs w:val="28"/>
          <w:highlight w:val="none"/>
          <w14:textFill>
            <w14:solidFill>
              <w14:schemeClr w14:val="tx1"/>
            </w14:solidFill>
          </w14:textFill>
        </w:rPr>
      </w:pPr>
    </w:p>
    <w:p w14:paraId="542D74C7">
      <w:pPr>
        <w:tabs>
          <w:tab w:val="left" w:pos="900"/>
        </w:tabs>
        <w:spacing w:line="360" w:lineRule="auto"/>
        <w:jc w:val="center"/>
        <w:outlineLvl w:val="1"/>
        <w:rPr>
          <w:rFonts w:hint="eastAsia" w:ascii="楷体" w:hAnsi="楷体" w:eastAsia="楷体" w:cs="楷体"/>
          <w:b/>
          <w:bCs/>
          <w:color w:val="000000" w:themeColor="text1"/>
          <w:sz w:val="32"/>
          <w:szCs w:val="32"/>
          <w:highlight w:val="none"/>
          <w14:textFill>
            <w14:solidFill>
              <w14:schemeClr w14:val="tx1"/>
            </w14:solidFill>
          </w14:textFill>
        </w:rPr>
      </w:pPr>
      <w:bookmarkStart w:id="44" w:name="_Toc29185"/>
      <w:bookmarkStart w:id="45" w:name="_Toc20427"/>
      <w:r>
        <w:rPr>
          <w:rFonts w:hint="eastAsia" w:ascii="楷体" w:hAnsi="楷体" w:eastAsia="楷体" w:cs="楷体"/>
          <w:b/>
          <w:bCs/>
          <w:color w:val="000000" w:themeColor="text1"/>
          <w:sz w:val="32"/>
          <w:szCs w:val="32"/>
          <w:highlight w:val="none"/>
          <w14:textFill>
            <w14:solidFill>
              <w14:schemeClr w14:val="tx1"/>
            </w14:solidFill>
          </w14:textFill>
        </w:rPr>
        <w:t>第三节  铁塔服务费专项管理</w:t>
      </w:r>
      <w:bookmarkEnd w:id="44"/>
      <w:bookmarkEnd w:id="45"/>
    </w:p>
    <w:p w14:paraId="4F04630F">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铁塔服务费是铁塔公司网络站点的塔类、室分、传输、其他产品及其他公司铁塔产品在服务中产生的费用，不包含铁塔公司拓展业务及其他公司室分产品在服务中产生的费用。</w:t>
      </w:r>
    </w:p>
    <w:p w14:paraId="16698876">
      <w:pPr>
        <w:numPr>
          <w:ilvl w:val="0"/>
          <w:numId w:val="2"/>
        </w:numPr>
        <w:tabs>
          <w:tab w:val="left" w:pos="900"/>
        </w:tabs>
        <w:spacing w:line="360" w:lineRule="auto"/>
        <w:ind w:left="0" w:firstLine="640" w:firstLineChars="20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铁塔服务费管理以站点入网交维为起点，包括站点的关系承接、费用管理、续租退租、信息管理等工作，入网交维前的站点铁塔服务费由工程建设部门负责承担管理职责，包括工程专业负责入网交维前站点的铁塔服务费管理和首次报账工作，并在入网交维验收中将相关租赁资料准确、完整地进行系统交接。验收通过后，网络部门负责入网交维后的站点铁塔服务费管理。</w:t>
      </w:r>
    </w:p>
    <w:p w14:paraId="04709DCF">
      <w:pPr>
        <w:numPr>
          <w:ilvl w:val="0"/>
          <w:numId w:val="2"/>
        </w:numPr>
        <w:tabs>
          <w:tab w:val="left" w:pos="900"/>
        </w:tabs>
        <w:spacing w:line="360" w:lineRule="auto"/>
        <w:ind w:left="0" w:firstLine="640" w:firstLineChars="20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地市</w:t>
      </w:r>
      <w:r>
        <w:rPr>
          <w:rFonts w:hint="eastAsia" w:ascii="仿宋_GB2312" w:hAnsi="仿宋_GB2312" w:eastAsia="仿宋_GB2312" w:cs="仿宋_GB2312"/>
          <w:color w:val="000000" w:themeColor="text1"/>
          <w:sz w:val="32"/>
          <w:szCs w:val="32"/>
          <w:highlight w:val="none"/>
          <w14:textFill>
            <w14:solidFill>
              <w14:schemeClr w14:val="tx1"/>
            </w14:solidFill>
          </w14:textFill>
        </w:rPr>
        <w:t>要负责按照相关要求落实本单位铁塔维护对接和维护考核工作，落实本地铁塔站点搬迁优化与质量考核，配合工程建设部门完成铁塔产品接维验收工作，确保接维产品与订单需求一致。</w:t>
      </w:r>
    </w:p>
    <w:p w14:paraId="17577BEC">
      <w:pPr>
        <w:numPr>
          <w:ilvl w:val="0"/>
          <w:numId w:val="2"/>
        </w:numPr>
        <w:tabs>
          <w:tab w:val="left" w:pos="900"/>
        </w:tabs>
        <w:spacing w:line="360" w:lineRule="auto"/>
        <w:ind w:left="0" w:firstLine="640" w:firstLineChars="20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地市</w:t>
      </w:r>
      <w:r>
        <w:rPr>
          <w:rFonts w:hint="eastAsia" w:ascii="仿宋_GB2312" w:hAnsi="仿宋_GB2312" w:eastAsia="仿宋_GB2312" w:cs="仿宋_GB2312"/>
          <w:color w:val="000000" w:themeColor="text1"/>
          <w:sz w:val="32"/>
          <w:szCs w:val="32"/>
          <w:highlight w:val="none"/>
          <w14:textFill>
            <w14:solidFill>
              <w14:schemeClr w14:val="tx1"/>
            </w14:solidFill>
          </w14:textFill>
        </w:rPr>
        <w:t>要将站点铁塔服务费相关资料验收纳入站点入网交维验收工作中，对入网交维站点的资料进行完整性和真实性稽核，在确认资料完整和符合规定后通过验收。</w:t>
      </w:r>
    </w:p>
    <w:p w14:paraId="7B7559DA">
      <w:pPr>
        <w:numPr>
          <w:ilvl w:val="0"/>
          <w:numId w:val="2"/>
        </w:numPr>
        <w:tabs>
          <w:tab w:val="left" w:pos="900"/>
        </w:tabs>
        <w:spacing w:line="360" w:lineRule="auto"/>
        <w:ind w:left="0" w:firstLine="640" w:firstLineChars="20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铁塔公司及第三方基站公司在EPMS系统中提交竣工交付申请时必须附基站铁塔及塔基等设计文件和竣工验收文件。市区县工程建设项目经理在EPMS系统中审核后进行竣工交付确认；网络维护项目经理对EPMS系统中竣工资料完整且现场满足开通条件的，会同工程建设项目经理签署交付验收证书，且在EPMS系统中进行竣工交付确认。</w:t>
      </w:r>
    </w:p>
    <w:p w14:paraId="00145E28">
      <w:pPr>
        <w:numPr>
          <w:ilvl w:val="0"/>
          <w:numId w:val="2"/>
        </w:numPr>
        <w:tabs>
          <w:tab w:val="left" w:pos="900"/>
        </w:tabs>
        <w:spacing w:line="360" w:lineRule="auto"/>
        <w:ind w:left="0" w:firstLine="640" w:firstLineChars="20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新建站点铁塔服务费交付相关资料包含但不限于站点批量起租表、业务确认单、已发生的铁塔服务费报账信息</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、新建站起租合同</w:t>
      </w:r>
      <w:r>
        <w:rPr>
          <w:rFonts w:hint="eastAsia" w:ascii="仿宋_GB2312" w:hAnsi="仿宋_GB2312" w:eastAsia="仿宋_GB2312" w:cs="仿宋_GB2312"/>
          <w:color w:val="000000" w:themeColor="text1"/>
          <w:sz w:val="32"/>
          <w:szCs w:val="32"/>
          <w:highlight w:val="none"/>
          <w14:textFill>
            <w14:solidFill>
              <w14:schemeClr w14:val="tx1"/>
            </w14:solidFill>
          </w14:textFill>
        </w:rPr>
        <w:t>等。新建站点工程建设项目经理首次报账后将所有起租信息（包括但不限于铁塔、机房、配套、天线数量挂高、共享属性、铁塔资源编码、需求编号等）推送网络部铁塔计费系统，以后由网络维护项目经理实时维护起租信息。</w:t>
      </w:r>
    </w:p>
    <w:p w14:paraId="7AE0E48B">
      <w:pPr>
        <w:numPr>
          <w:ilvl w:val="0"/>
          <w:numId w:val="2"/>
        </w:numPr>
        <w:tabs>
          <w:tab w:val="left" w:pos="900"/>
        </w:tabs>
        <w:spacing w:line="360" w:lineRule="auto"/>
        <w:ind w:left="0" w:firstLine="640" w:firstLineChars="20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铁塔服务费基础信息包括铁塔、机房、配套、共享情况等涉及计费的相关信息。</w:t>
      </w:r>
    </w:p>
    <w:p w14:paraId="21DE6AA2">
      <w:pPr>
        <w:numPr>
          <w:ilvl w:val="0"/>
          <w:numId w:val="2"/>
        </w:numPr>
        <w:tabs>
          <w:tab w:val="left" w:pos="900"/>
        </w:tabs>
        <w:spacing w:line="360" w:lineRule="auto"/>
        <w:ind w:left="0" w:firstLine="640" w:firstLineChars="20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对于新增订单（含新建和改造）需求，各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地市</w:t>
      </w:r>
      <w:r>
        <w:rPr>
          <w:rFonts w:hint="eastAsia" w:ascii="仿宋_GB2312" w:hAnsi="仿宋_GB2312" w:eastAsia="仿宋_GB2312" w:cs="仿宋_GB2312"/>
          <w:color w:val="000000" w:themeColor="text1"/>
          <w:sz w:val="32"/>
          <w:szCs w:val="32"/>
          <w:highlight w:val="none"/>
          <w14:textFill>
            <w14:solidFill>
              <w14:schemeClr w14:val="tx1"/>
            </w14:solidFill>
          </w14:textFill>
        </w:rPr>
        <w:t>应建立需求会审机制，在相关牵头部门组织下，网络部门应参与新建站点塔类、机房、室内分布的选型及天线挂高等计费相关需求方案审核，评审通过后由</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工程</w:t>
      </w:r>
      <w:r>
        <w:rPr>
          <w:rFonts w:hint="eastAsia" w:ascii="仿宋_GB2312" w:hAnsi="仿宋_GB2312" w:eastAsia="仿宋_GB2312" w:cs="仿宋_GB2312"/>
          <w:color w:val="000000" w:themeColor="text1"/>
          <w:sz w:val="32"/>
          <w:szCs w:val="32"/>
          <w:highlight w:val="none"/>
          <w14:textFill>
            <w14:solidFill>
              <w14:schemeClr w14:val="tx1"/>
            </w14:solidFill>
          </w14:textFill>
        </w:rPr>
        <w:t>建设部门推送铁塔公司进行建设，合理控制新建站点铁塔服务费成本。</w:t>
      </w:r>
    </w:p>
    <w:p w14:paraId="45E28A68">
      <w:pPr>
        <w:numPr>
          <w:ilvl w:val="0"/>
          <w:numId w:val="2"/>
        </w:numPr>
        <w:tabs>
          <w:tab w:val="left" w:pos="900"/>
        </w:tabs>
        <w:spacing w:line="360" w:lineRule="auto"/>
        <w:ind w:left="0" w:firstLine="640" w:firstLineChars="20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对铁塔公司的服务费结算及考核罚金总体依据《服务协议》《商务定价协议》等协议执行，针对上述协议无法覆盖部分特殊场景的情况，</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各地市根据省公司要求</w:t>
      </w:r>
      <w:r>
        <w:rPr>
          <w:rFonts w:hint="eastAsia" w:ascii="仿宋_GB2312" w:hAnsi="仿宋_GB2312" w:eastAsia="仿宋_GB2312" w:cs="仿宋_GB2312"/>
          <w:color w:val="000000" w:themeColor="text1"/>
          <w:sz w:val="32"/>
          <w:szCs w:val="32"/>
          <w:highlight w:val="none"/>
          <w14:textFill>
            <w14:solidFill>
              <w14:schemeClr w14:val="tx1"/>
            </w14:solidFill>
          </w14:textFill>
        </w:rPr>
        <w:t>协商当地铁塔公司自行签订协议或备忘录作为费用结算依据。</w:t>
      </w:r>
    </w:p>
    <w:p w14:paraId="7C471AB5">
      <w:pPr>
        <w:numPr>
          <w:ilvl w:val="0"/>
          <w:numId w:val="2"/>
        </w:numPr>
        <w:tabs>
          <w:tab w:val="left" w:pos="900"/>
        </w:tabs>
        <w:spacing w:line="360" w:lineRule="auto"/>
        <w:ind w:left="0" w:firstLine="640" w:firstLineChars="20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各铁塔服务费执行单位在铁塔服务费管理中应及时跟踪站点状态，对于站址起租连续超过6个月后未开通和开通后连续超过3个月零业务量等情况要建立台账，综合考虑各方面因素制定管控措施，避免资产闲置浪费现象。</w:t>
      </w:r>
    </w:p>
    <w:p w14:paraId="79639A90">
      <w:pPr>
        <w:numPr>
          <w:ilvl w:val="0"/>
          <w:numId w:val="2"/>
        </w:numPr>
        <w:tabs>
          <w:tab w:val="left" w:pos="900"/>
        </w:tabs>
        <w:spacing w:line="360" w:lineRule="auto"/>
        <w:ind w:left="0" w:firstLine="640" w:firstLineChars="200"/>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市分公司</w:t>
      </w:r>
      <w:r>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t>对于其他公司铁塔产品应加强管理，要严格禁止转租转包行为，</w:t>
      </w:r>
      <w:r>
        <w:rPr>
          <w:rFonts w:hint="eastAsia" w:ascii="仿宋_GB2312" w:hAnsi="仿宋_GB2312" w:eastAsia="仿宋_GB2312" w:cs="仿宋_GB2312"/>
          <w:color w:val="000000" w:themeColor="text1"/>
          <w:sz w:val="32"/>
          <w:szCs w:val="32"/>
          <w:highlight w:val="none"/>
          <w14:textFill>
            <w14:solidFill>
              <w14:schemeClr w14:val="tx1"/>
            </w14:solidFill>
          </w14:textFill>
        </w:rPr>
        <w:t>在工程交付环节，必须</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要求</w:t>
      </w:r>
      <w:r>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t>其他公司</w:t>
      </w:r>
      <w:r>
        <w:rPr>
          <w:rFonts w:hint="eastAsia" w:ascii="仿宋_GB2312" w:hAnsi="仿宋_GB2312" w:eastAsia="仿宋_GB2312" w:cs="仿宋_GB2312"/>
          <w:color w:val="000000" w:themeColor="text1"/>
          <w:sz w:val="32"/>
          <w:szCs w:val="32"/>
          <w:highlight w:val="none"/>
          <w14:textFill>
            <w14:solidFill>
              <w14:schemeClr w14:val="tx1"/>
            </w14:solidFill>
          </w14:textFill>
        </w:rPr>
        <w:t>提供清晰、完整的铁塔产权证明文件，明确产权归属、登记信息及无抵押</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证明</w:t>
      </w:r>
      <w:r>
        <w:rPr>
          <w:rFonts w:hint="eastAsia" w:ascii="仿宋_GB2312" w:hAnsi="仿宋_GB2312" w:eastAsia="仿宋_GB2312" w:cs="仿宋_GB2312"/>
          <w:color w:val="000000" w:themeColor="text1"/>
          <w:sz w:val="32"/>
          <w:szCs w:val="32"/>
          <w:highlight w:val="none"/>
          <w14:textFill>
            <w14:solidFill>
              <w14:schemeClr w14:val="tx1"/>
            </w14:solidFill>
          </w14:textFill>
        </w:rPr>
        <w:t>等关键信息，避免后续因产权模糊引发纠纷。</w:t>
      </w:r>
      <w:r>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t>同时制定定价规则及分级审批等机制，确保全流程合规。</w:t>
      </w:r>
    </w:p>
    <w:p w14:paraId="3C94E9EB">
      <w:pPr>
        <w:numPr>
          <w:ilvl w:val="0"/>
          <w:numId w:val="2"/>
        </w:numPr>
        <w:tabs>
          <w:tab w:val="left" w:pos="900"/>
        </w:tabs>
        <w:spacing w:line="360" w:lineRule="auto"/>
        <w:ind w:left="0" w:firstLine="640" w:firstLineChars="200"/>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t>为提升网络资源自主管控能力、降低长期合作成本，</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各地市</w:t>
      </w:r>
      <w:r>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t>需进一步强化自建能力建设，尤其在室分场景中，除重要交通枢纽（如高铁站、机场等）可结合实际需求统筹合作建设外，其余非重要交通枢纽类室分项目，应由分公司自主规划、建设与运维，实现建设效率提升与成本精准管控的双重目标。</w:t>
      </w:r>
    </w:p>
    <w:p w14:paraId="705E81AB">
      <w:pPr>
        <w:numPr>
          <w:ilvl w:val="0"/>
          <w:numId w:val="0"/>
        </w:numPr>
        <w:tabs>
          <w:tab w:val="left" w:pos="900"/>
        </w:tabs>
        <w:spacing w:line="360" w:lineRule="auto"/>
        <w:ind w:leftChars="200"/>
        <w:rPr>
          <w:rFonts w:hint="eastAsia" w:ascii="仿宋_GB2312" w:hAnsi="仿宋_GB2312" w:eastAsia="仿宋_GB2312" w:cs="仿宋_GB2312"/>
          <w:color w:val="000000" w:themeColor="text1"/>
          <w:sz w:val="32"/>
          <w:szCs w:val="32"/>
          <w:highlight w:val="none"/>
          <w14:textFill>
            <w14:solidFill>
              <w14:schemeClr w14:val="tx1"/>
            </w14:solidFill>
          </w14:textFill>
        </w:rPr>
      </w:pPr>
    </w:p>
    <w:p w14:paraId="4581410D">
      <w:pPr>
        <w:tabs>
          <w:tab w:val="left" w:pos="900"/>
        </w:tabs>
        <w:spacing w:line="360" w:lineRule="auto"/>
        <w:jc w:val="center"/>
        <w:outlineLvl w:val="1"/>
        <w:rPr>
          <w:rFonts w:hint="eastAsia" w:ascii="楷体" w:hAnsi="楷体" w:eastAsia="楷体" w:cs="楷体"/>
          <w:b/>
          <w:bCs/>
          <w:color w:val="000000" w:themeColor="text1"/>
          <w:sz w:val="32"/>
          <w:szCs w:val="32"/>
          <w:highlight w:val="none"/>
          <w14:textFill>
            <w14:solidFill>
              <w14:schemeClr w14:val="tx1"/>
            </w14:solidFill>
          </w14:textFill>
        </w:rPr>
      </w:pPr>
      <w:bookmarkStart w:id="46" w:name="_Toc3645"/>
      <w:bookmarkStart w:id="47" w:name="_Toc20860"/>
      <w:r>
        <w:rPr>
          <w:rFonts w:hint="eastAsia" w:ascii="楷体" w:hAnsi="楷体" w:eastAsia="楷体" w:cs="楷体"/>
          <w:b/>
          <w:bCs/>
          <w:color w:val="000000" w:themeColor="text1"/>
          <w:sz w:val="32"/>
          <w:szCs w:val="32"/>
          <w:highlight w:val="none"/>
          <w14:textFill>
            <w14:solidFill>
              <w14:schemeClr w14:val="tx1"/>
            </w14:solidFill>
          </w14:textFill>
        </w:rPr>
        <w:t>第四节  网络维修费专项管理</w:t>
      </w:r>
      <w:bookmarkEnd w:id="46"/>
      <w:bookmarkEnd w:id="47"/>
    </w:p>
    <w:p w14:paraId="045573BC">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网络维修费是指公司通信网络资产（包括租入资产）在日常维护、优化及修理过程中发生的费用。</w:t>
      </w:r>
    </w:p>
    <w:p w14:paraId="7B48D377">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网络维修费项目需按照</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中国移动</w:t>
      </w:r>
      <w:r>
        <w:rPr>
          <w:rFonts w:hint="eastAsia" w:ascii="仿宋_GB2312" w:hAnsi="仿宋_GB2312" w:eastAsia="仿宋_GB2312" w:cs="仿宋_GB2312"/>
          <w:color w:val="000000" w:themeColor="text1"/>
          <w:sz w:val="32"/>
          <w:szCs w:val="32"/>
          <w:highlight w:val="none"/>
          <w14:textFill>
            <w14:solidFill>
              <w14:schemeClr w14:val="tx1"/>
            </w14:solidFill>
          </w14:textFill>
        </w:rPr>
        <w:t>网络维修费四级科目</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规范</w:t>
      </w:r>
      <w:r>
        <w:rPr>
          <w:rFonts w:hint="eastAsia" w:ascii="仿宋_GB2312" w:hAnsi="仿宋_GB2312" w:eastAsia="仿宋_GB2312" w:cs="仿宋_GB2312"/>
          <w:color w:val="000000" w:themeColor="text1"/>
          <w:sz w:val="32"/>
          <w:szCs w:val="32"/>
          <w:highlight w:val="none"/>
          <w14:textFill>
            <w14:solidFill>
              <w14:schemeClr w14:val="tx1"/>
            </w14:solidFill>
          </w14:textFill>
        </w:rPr>
        <w:t>列支，网络维修费中网络支撑网只包含OMC相关维护成本，其余成本列入IT维护支撑费科目。</w:t>
      </w:r>
    </w:p>
    <w:p w14:paraId="583EA510">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为确保各科目费用分拆的准确性及报账的及时性，各省、专业公司、直属单位网络维修费归口管理单位在实施细则中应明确费用分拆的职责、要求及流程，原则上应由费用使用单位负责报账前的费用科目分拆。对一个合同中包含多个项目的情况，按如下方法进行分拆：各项目有分项金额的，按照金额分拆；只有最终合同金额无分项金额的，先按照各项目最初的报价和最终合同金额统一计算折扣率，再用各项目初始报价*折扣率=各项目应分拆的金额，然后分别列入各项目相应的科目中。</w:t>
      </w:r>
    </w:p>
    <w:p w14:paraId="006E92EC">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网络维修费执行需严格按照合同约定或规定标准结算费用。</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省市公司</w:t>
      </w:r>
      <w:r>
        <w:rPr>
          <w:rFonts w:hint="eastAsia" w:ascii="仿宋_GB2312" w:hAnsi="仿宋_GB2312" w:eastAsia="仿宋_GB2312" w:cs="仿宋_GB2312"/>
          <w:color w:val="000000" w:themeColor="text1"/>
          <w:sz w:val="32"/>
          <w:szCs w:val="32"/>
          <w:highlight w:val="none"/>
          <w14:textFill>
            <w14:solidFill>
              <w14:schemeClr w14:val="tx1"/>
            </w14:solidFill>
          </w14:textFill>
        </w:rPr>
        <w:t>在维修费日常管理、结算过程中要严格按照合同或管理规定中约定的单价、服务范围、金额上限、工作量上限、工作完成情况、考核结果等进行执行。</w:t>
      </w:r>
    </w:p>
    <w:p w14:paraId="05946617">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单位</w:t>
      </w:r>
      <w:r>
        <w:rPr>
          <w:rFonts w:hint="eastAsia" w:ascii="仿宋_GB2312" w:hAnsi="仿宋_GB2312" w:eastAsia="仿宋_GB2312" w:cs="仿宋_GB2312"/>
          <w:color w:val="000000" w:themeColor="text1"/>
          <w:sz w:val="32"/>
          <w:szCs w:val="32"/>
          <w:highlight w:val="none"/>
          <w14:textFill>
            <w14:solidFill>
              <w14:schemeClr w14:val="tx1"/>
            </w14:solidFill>
          </w14:textFill>
        </w:rPr>
        <w:t>需按专业管理要求，定期核查综资系统网络资源、网络规模、存量用户状态等数据的准确性，并根据代维、维保、整治等管理要求确保</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结算</w:t>
      </w:r>
      <w:r>
        <w:rPr>
          <w:rFonts w:hint="eastAsia" w:ascii="仿宋_GB2312" w:hAnsi="仿宋_GB2312" w:eastAsia="仿宋_GB2312" w:cs="仿宋_GB2312"/>
          <w:color w:val="000000" w:themeColor="text1"/>
          <w:sz w:val="32"/>
          <w:szCs w:val="32"/>
          <w:highlight w:val="none"/>
          <w14:textFill>
            <w14:solidFill>
              <w14:schemeClr w14:val="tx1"/>
            </w14:solidFill>
          </w14:textFill>
        </w:rPr>
        <w:t>费用的准确性。</w:t>
      </w:r>
    </w:p>
    <w:p w14:paraId="5DB14005">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单位</w:t>
      </w:r>
      <w:r>
        <w:rPr>
          <w:rFonts w:hint="eastAsia" w:ascii="仿宋_GB2312" w:hAnsi="仿宋_GB2312" w:eastAsia="仿宋_GB2312" w:cs="仿宋_GB2312"/>
          <w:color w:val="000000" w:themeColor="text1"/>
          <w:sz w:val="32"/>
          <w:szCs w:val="32"/>
          <w:highlight w:val="none"/>
          <w14:textFill>
            <w14:solidFill>
              <w14:schemeClr w14:val="tx1"/>
            </w14:solidFill>
          </w14:textFill>
        </w:rPr>
        <w:t>要严格按照相关管理规范，对工单质量进行把关，对附件缺失、附件重复、考核不通过的工单不予结算；已结算的工单不重复结算；对网络整治项目实行全流程管理，规范方案编制、验收等基础环节。</w:t>
      </w:r>
    </w:p>
    <w:p w14:paraId="15B95E77">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单位</w:t>
      </w:r>
      <w:r>
        <w:rPr>
          <w:rFonts w:hint="eastAsia" w:ascii="仿宋_GB2312" w:hAnsi="仿宋_GB2312" w:eastAsia="仿宋_GB2312" w:cs="仿宋_GB2312"/>
          <w:color w:val="000000" w:themeColor="text1"/>
          <w:sz w:val="32"/>
          <w:szCs w:val="32"/>
          <w:highlight w:val="none"/>
          <w14:textFill>
            <w14:solidFill>
              <w14:schemeClr w14:val="tx1"/>
            </w14:solidFill>
          </w14:textFill>
        </w:rPr>
        <w:t>要严格按照网络成本管理系统维修费稽核范围，对已经纳入稽核范围的费用（特殊业务场景除外），需通过网络成本管理系统自动稽核后方可报账。</w:t>
      </w:r>
    </w:p>
    <w:p w14:paraId="6BA76C02">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各单位要严格按照网络成本管理系统维修费特殊业务场景清单，对未纳入系统自动稽核范围的高铁沿线等少数特殊业务场景的费用，需通过网络成本管理系统发起单独稽核单，选择对应的特殊业务场景进行人工稽核审批留痕，避免滥用特殊场景功能。</w:t>
      </w:r>
    </w:p>
    <w:p w14:paraId="52C665BB">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各单位要以网络维修费正向打开模型指导日常生产，按照模型中的工作标准推进各项维护工作。以网络质量优化为导向，动态调整模型参数，实现降本增效与质量的协同提升。应用网络成本管理系统正向打开功能，开展单位成本逐优对标，做到网络费用“有保有降”。从“能力内化降本”“技术赋能降本”“管理模式降本”三个方向，合理推进外包费用管控工作</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14:paraId="305516D6">
      <w:pPr>
        <w:numPr>
          <w:ilvl w:val="0"/>
          <w:numId w:val="0"/>
        </w:numPr>
        <w:tabs>
          <w:tab w:val="left" w:pos="900"/>
        </w:tabs>
        <w:spacing w:line="360" w:lineRule="auto"/>
        <w:ind w:leftChars="200"/>
        <w:rPr>
          <w:rFonts w:ascii="仿宋_GB2312" w:hAnsi="仿宋_GB2312" w:eastAsia="仿宋_GB2312" w:cs="仿宋_GB2312"/>
          <w:color w:val="000000" w:themeColor="text1"/>
          <w:sz w:val="32"/>
          <w:szCs w:val="32"/>
          <w:highlight w:val="none"/>
          <w14:textFill>
            <w14:solidFill>
              <w14:schemeClr w14:val="tx1"/>
            </w14:solidFill>
          </w14:textFill>
        </w:rPr>
      </w:pPr>
    </w:p>
    <w:p w14:paraId="18493BDA">
      <w:pPr>
        <w:tabs>
          <w:tab w:val="left" w:pos="900"/>
        </w:tabs>
        <w:spacing w:line="360" w:lineRule="auto"/>
        <w:jc w:val="center"/>
        <w:outlineLvl w:val="1"/>
        <w:rPr>
          <w:rFonts w:hint="eastAsia" w:ascii="楷体" w:hAnsi="楷体" w:eastAsia="楷体" w:cs="楷体"/>
          <w:b/>
          <w:bCs/>
          <w:color w:val="000000" w:themeColor="text1"/>
          <w:sz w:val="32"/>
          <w:szCs w:val="32"/>
          <w:highlight w:val="none"/>
          <w14:textFill>
            <w14:solidFill>
              <w14:schemeClr w14:val="tx1"/>
            </w14:solidFill>
          </w14:textFill>
        </w:rPr>
      </w:pPr>
      <w:bookmarkStart w:id="48" w:name="_Toc32257"/>
      <w:bookmarkStart w:id="49" w:name="_Toc4369"/>
      <w:r>
        <w:rPr>
          <w:rFonts w:hint="eastAsia" w:ascii="楷体" w:hAnsi="楷体" w:eastAsia="楷体" w:cs="楷体"/>
          <w:b/>
          <w:bCs/>
          <w:color w:val="000000" w:themeColor="text1"/>
          <w:sz w:val="32"/>
          <w:szCs w:val="32"/>
          <w:highlight w:val="none"/>
          <w14:textFill>
            <w14:solidFill>
              <w14:schemeClr w14:val="tx1"/>
            </w14:solidFill>
          </w14:textFill>
        </w:rPr>
        <w:t>第五节  家客、集客装移机工料费专项管理</w:t>
      </w:r>
      <w:bookmarkEnd w:id="48"/>
      <w:bookmarkEnd w:id="49"/>
    </w:p>
    <w:p w14:paraId="5633E14B">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家客装移机工料费是指在为用户提供家庭宽带与高清电视、智能组网、FTTR、家庭安防及其他HDICT服务等家庭宽带互联网增值业务的装机、移机、拆机服务过程中，发生的装移机施工费和材料费用，管理范围以家庭宽带及其互联网增值业务装移机需求为起点。</w:t>
      </w:r>
    </w:p>
    <w:p w14:paraId="7D17D64C">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家客装移机工料费基础信息包括工单编号、业务类型、城乡标识、小区名称、客户地址、施工工作量、终端信息、端口信息、物料使用、服务计价方式、服务单价等。</w:t>
      </w:r>
    </w:p>
    <w:p w14:paraId="376A56D2">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集客装移机工料费是指为用户提供</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企业宽带</w:t>
      </w:r>
      <w:r>
        <w:rPr>
          <w:rFonts w:hint="eastAsia" w:ascii="仿宋_GB2312" w:hAnsi="仿宋_GB2312" w:eastAsia="仿宋_GB2312" w:cs="仿宋_GB2312"/>
          <w:color w:val="000000" w:themeColor="text1"/>
          <w:sz w:val="32"/>
          <w:szCs w:val="32"/>
          <w:highlight w:val="none"/>
          <w14:textFill>
            <w14:solidFill>
              <w14:schemeClr w14:val="tx1"/>
            </w14:solidFill>
          </w14:textFill>
        </w:rPr>
        <w:t>、政企应用终端业务装机、变更、拆机服务过程中，发生的装移机施工及材料费用，管理范围以企业宽带、政企应用终端业务及其增值业务装移机需求为起点。</w:t>
      </w:r>
    </w:p>
    <w:p w14:paraId="016C1F06">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集客装移机工料费基础信息中，企宽包括工单编号、城乡标识、小区名称、客户地址、终端信息、端口信息、物料使用、服务计价方式、服务单价等。</w:t>
      </w:r>
    </w:p>
    <w:p w14:paraId="3CE35572">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在保证装移机质量与时效性基础上，各级网络成本执行单位负责管控装移机业务量和物料使用量的准确性，确保实际支付的工费、料费价格合理。各级网络成本执行单位负责本单位装移机资源基础信息、工单信息、服务队伍、物料、客户侧设备、结算、报账与考核管理工作。</w:t>
      </w:r>
    </w:p>
    <w:p w14:paraId="6DA3F22A">
      <w:pPr>
        <w:tabs>
          <w:tab w:val="left" w:pos="900"/>
        </w:tabs>
        <w:spacing w:line="360" w:lineRule="auto"/>
        <w:jc w:val="both"/>
        <w:outlineLvl w:val="9"/>
        <w:rPr>
          <w:rFonts w:hint="eastAsia" w:ascii="楷体" w:hAnsi="楷体" w:eastAsia="楷体" w:cs="楷体"/>
          <w:b/>
          <w:bCs/>
          <w:color w:val="000000" w:themeColor="text1"/>
          <w:sz w:val="32"/>
          <w:szCs w:val="32"/>
          <w:highlight w:val="none"/>
          <w14:textFill>
            <w14:solidFill>
              <w14:schemeClr w14:val="tx1"/>
            </w14:solidFill>
          </w14:textFill>
        </w:rPr>
      </w:pPr>
      <w:bookmarkStart w:id="50" w:name="_Toc12731"/>
    </w:p>
    <w:p w14:paraId="27B27BBE">
      <w:pPr>
        <w:tabs>
          <w:tab w:val="left" w:pos="900"/>
        </w:tabs>
        <w:spacing w:line="360" w:lineRule="auto"/>
        <w:jc w:val="center"/>
        <w:outlineLvl w:val="1"/>
        <w:rPr>
          <w:rFonts w:hint="eastAsia" w:ascii="楷体" w:hAnsi="楷体" w:eastAsia="楷体" w:cs="楷体"/>
          <w:b/>
          <w:bCs/>
          <w:color w:val="000000" w:themeColor="text1"/>
          <w:sz w:val="32"/>
          <w:szCs w:val="32"/>
          <w:highlight w:val="none"/>
          <w14:textFill>
            <w14:solidFill>
              <w14:schemeClr w14:val="tx1"/>
            </w14:solidFill>
          </w14:textFill>
        </w:rPr>
      </w:pPr>
      <w:bookmarkStart w:id="51" w:name="_Toc2632"/>
      <w:r>
        <w:rPr>
          <w:rFonts w:hint="eastAsia" w:ascii="楷体" w:hAnsi="楷体" w:eastAsia="楷体" w:cs="楷体"/>
          <w:b/>
          <w:bCs/>
          <w:color w:val="000000" w:themeColor="text1"/>
          <w:sz w:val="32"/>
          <w:szCs w:val="32"/>
          <w:highlight w:val="none"/>
          <w14:textFill>
            <w14:solidFill>
              <w14:schemeClr w14:val="tx1"/>
            </w14:solidFill>
          </w14:textFill>
        </w:rPr>
        <w:t>第六节  外部网络资源租赁费专项管理</w:t>
      </w:r>
      <w:bookmarkEnd w:id="50"/>
      <w:bookmarkEnd w:id="51"/>
    </w:p>
    <w:p w14:paraId="6B7EA208">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外部网络资源租赁费是指租赁非</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中国移动</w:t>
      </w:r>
      <w:r>
        <w:rPr>
          <w:rFonts w:hint="eastAsia" w:ascii="仿宋_GB2312" w:hAnsi="仿宋_GB2312" w:eastAsia="仿宋_GB2312" w:cs="仿宋_GB2312"/>
          <w:color w:val="000000" w:themeColor="text1"/>
          <w:sz w:val="32"/>
          <w:szCs w:val="32"/>
          <w:highlight w:val="none"/>
          <w14:textFill>
            <w14:solidFill>
              <w14:schemeClr w14:val="tx1"/>
            </w14:solidFill>
          </w14:textFill>
        </w:rPr>
        <w:t>通信集团有限公司下属单位自有产权的电路、管道、光纤、杆路、端口等传输资源租赁费（不包括设备租赁）；各公司租赁集团公司或下属单位网络资源的场景不在统计范围内；不包含共建共享（共建或共享其他运营商相应资源均归属于共建共享费用）的费用。外部网络资源租赁费中所涉及的服务仅包含租赁服务，其他服务（如代维服务，设备维护服务以及市场运营服务等）都不属于外部网络资源租赁费。</w:t>
      </w:r>
    </w:p>
    <w:p w14:paraId="3E51E570">
      <w:pPr>
        <w:numPr>
          <w:ilvl w:val="0"/>
          <w:numId w:val="2"/>
        </w:numPr>
        <w:tabs>
          <w:tab w:val="left" w:pos="900"/>
        </w:tabs>
        <w:spacing w:line="360" w:lineRule="auto"/>
        <w:ind w:left="0" w:firstLine="640" w:firstLineChars="200"/>
        <w:rPr>
          <w:rFonts w:hint="eastAsia" w:ascii="黑体" w:hAnsi="黑体" w:eastAsia="黑体" w:cs="Times New Roman"/>
          <w:bCs/>
          <w:color w:val="000000" w:themeColor="text1"/>
          <w:kern w:val="44"/>
          <w:sz w:val="36"/>
          <w:szCs w:val="36"/>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外部网络资源租赁接维相关资料包括租赁外部网络资源租赁年租金谈判记录、外部网络资源租赁基础信息、付款周期、业主信息及付款账户信息、符合法律规定的正式租赁合同、已产生的租赁费报账信息等。</w:t>
      </w:r>
    </w:p>
    <w:p w14:paraId="1D26242E">
      <w:pPr>
        <w:numPr>
          <w:ilvl w:val="0"/>
          <w:numId w:val="0"/>
        </w:numPr>
        <w:tabs>
          <w:tab w:val="left" w:pos="900"/>
        </w:tabs>
        <w:spacing w:line="360" w:lineRule="auto"/>
        <w:ind w:leftChars="200"/>
        <w:rPr>
          <w:rFonts w:hint="eastAsia" w:ascii="仿宋_GB2312" w:hAnsi="仿宋_GB2312" w:eastAsia="仿宋_GB2312" w:cs="仿宋_GB2312"/>
          <w:color w:val="000000" w:themeColor="text1"/>
          <w:sz w:val="32"/>
          <w:szCs w:val="32"/>
          <w:highlight w:val="none"/>
          <w14:textFill>
            <w14:solidFill>
              <w14:schemeClr w14:val="tx1"/>
            </w14:solidFill>
          </w14:textFill>
        </w:rPr>
      </w:pPr>
    </w:p>
    <w:p w14:paraId="083B4D83">
      <w:pPr>
        <w:keepNext/>
        <w:keepLines/>
        <w:pageBreakBefore w:val="0"/>
        <w:widowControl w:val="0"/>
        <w:numPr>
          <w:ilvl w:val="0"/>
          <w:numId w:val="1"/>
        </w:numPr>
        <w:kinsoku/>
        <w:wordWrap/>
        <w:overflowPunct/>
        <w:topLinePunct w:val="0"/>
        <w:autoSpaceDE/>
        <w:autoSpaceDN/>
        <w:bidi w:val="0"/>
        <w:adjustRightInd/>
        <w:snapToGrid/>
        <w:spacing w:before="340" w:after="330" w:line="360" w:lineRule="auto"/>
        <w:ind w:left="0" w:firstLine="0"/>
        <w:jc w:val="center"/>
        <w:textAlignment w:val="auto"/>
        <w:outlineLvl w:val="0"/>
        <w:rPr>
          <w:rFonts w:hint="eastAsia" w:ascii="黑体" w:hAnsi="黑体" w:eastAsia="黑体" w:cs="Times New Roman"/>
          <w:bCs/>
          <w:color w:val="000000" w:themeColor="text1"/>
          <w:kern w:val="44"/>
          <w:sz w:val="36"/>
          <w:szCs w:val="36"/>
          <w:highlight w:val="none"/>
          <w14:textFill>
            <w14:solidFill>
              <w14:schemeClr w14:val="tx1"/>
            </w14:solidFill>
          </w14:textFill>
        </w:rPr>
      </w:pPr>
      <w:r>
        <w:rPr>
          <w:rFonts w:hint="eastAsia" w:ascii="黑体" w:hAnsi="黑体" w:eastAsia="黑体" w:cs="Times New Roman"/>
          <w:bCs/>
          <w:color w:val="000000" w:themeColor="text1"/>
          <w:kern w:val="44"/>
          <w:sz w:val="36"/>
          <w:szCs w:val="36"/>
          <w:highlight w:val="none"/>
          <w14:textFill>
            <w14:solidFill>
              <w14:schemeClr w14:val="tx1"/>
            </w14:solidFill>
          </w14:textFill>
        </w:rPr>
        <w:t xml:space="preserve"> </w:t>
      </w:r>
      <w:bookmarkEnd w:id="35"/>
      <w:bookmarkEnd w:id="36"/>
      <w:bookmarkStart w:id="52" w:name="_Toc9458"/>
      <w:r>
        <w:rPr>
          <w:rFonts w:hint="eastAsia" w:ascii="黑体" w:hAnsi="黑体" w:eastAsia="黑体" w:cs="Times New Roman"/>
          <w:bCs/>
          <w:color w:val="000000" w:themeColor="text1"/>
          <w:kern w:val="44"/>
          <w:sz w:val="36"/>
          <w:szCs w:val="36"/>
          <w:highlight w:val="none"/>
          <w:lang w:val="en-US" w:eastAsia="zh-CN"/>
          <w14:textFill>
            <w14:solidFill>
              <w14:schemeClr w14:val="tx1"/>
            </w14:solidFill>
          </w14:textFill>
        </w:rPr>
        <w:t>监督与追责</w:t>
      </w:r>
      <w:bookmarkEnd w:id="52"/>
    </w:p>
    <w:p w14:paraId="5E7017C2">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为规范网络成本管理，严肃纪律，规范秩序，各级网络职能管理部门应对各单位落实本管理办法情况进行监督检查，对制度的执行过程、效果、风险控制等进行跟踪监控。监督检查发现的问题，应当整改。应追究责任的，按照有关规定进行责任追究。</w:t>
      </w:r>
    </w:p>
    <w:p w14:paraId="76B67F9F">
      <w:pPr>
        <w:numPr>
          <w:ilvl w:val="0"/>
          <w:numId w:val="2"/>
        </w:numPr>
        <w:tabs>
          <w:tab w:val="left" w:pos="900"/>
        </w:tabs>
        <w:spacing w:line="360" w:lineRule="auto"/>
        <w:ind w:left="0" w:firstLine="640" w:firstLineChars="200"/>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针对未按照网络维护规程体系内的各项管理规定开展维护工作、虚报瞒报弄虚作假，导致工作滞后或影响全网业务实施、泄露重要数据等情形，使网络质量严重下降，造成重大网络故障或重大安全事件的，或给社会造成不良影响、给公司造成重大损失的情况，存在下述问题之一，对直接责任人进行处理，对负有责任的单位和个人进行追责。</w:t>
      </w:r>
    </w:p>
    <w:p w14:paraId="54BADF4A">
      <w:pPr>
        <w:numPr>
          <w:ilvl w:val="0"/>
          <w:numId w:val="9"/>
        </w:numPr>
        <w:ind w:left="0" w:firstLine="420"/>
        <w:jc w:val="left"/>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未按照网络成本各项管理规定开展费用管理工作，造成重大经济损失。</w:t>
      </w:r>
    </w:p>
    <w:p w14:paraId="41C2994A">
      <w:pPr>
        <w:numPr>
          <w:ilvl w:val="0"/>
          <w:numId w:val="9"/>
        </w:numPr>
        <w:ind w:left="0" w:firstLine="420"/>
        <w:jc w:val="left"/>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虚报瞒报，弄虚作假。在相关费用的价格谈判、合同签署、项目立项实施、结算报账、计费相关各类数据录入与维护、考核评估中弄虚作假，隐瞒重大费用管理隐患及问题、在经济事故调查中有明显舞弊现象。</w:t>
      </w:r>
    </w:p>
    <w:p w14:paraId="40F161B3">
      <w:pPr>
        <w:numPr>
          <w:ilvl w:val="0"/>
          <w:numId w:val="9"/>
        </w:numPr>
        <w:ind w:left="0" w:firstLine="420"/>
        <w:jc w:val="left"/>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泄露重要预算数据、结算数据、网络数据、客户数据等敏感信息。</w:t>
      </w:r>
    </w:p>
    <w:p w14:paraId="7BC93EA8">
      <w:pPr>
        <w:numPr>
          <w:ilvl w:val="0"/>
          <w:numId w:val="9"/>
        </w:numPr>
        <w:ind w:left="0" w:firstLine="420"/>
        <w:jc w:val="left"/>
        <w:rPr>
          <w:rFonts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不严格执行网络成本管理相关规定，贪污、侵占公款给公司带来重大经济损失，联合业主、合作方或供应商等直接或间接套取公司费用。</w:t>
      </w:r>
    </w:p>
    <w:p w14:paraId="64B5F5B4">
      <w:pPr>
        <w:widowControl w:val="0"/>
        <w:numPr>
          <w:ilvl w:val="0"/>
          <w:numId w:val="9"/>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经济损失特别巨大。</w:t>
      </w:r>
    </w:p>
    <w:p w14:paraId="26B83CDE">
      <w:pPr>
        <w:widowControl w:val="0"/>
        <w:numPr>
          <w:ilvl w:val="0"/>
          <w:numId w:val="9"/>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社会影响特别重大，被多家媒体关注。</w:t>
      </w:r>
    </w:p>
    <w:p w14:paraId="4E45B144">
      <w:pPr>
        <w:widowControl w:val="0"/>
        <w:numPr>
          <w:ilvl w:val="0"/>
          <w:numId w:val="9"/>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受到上级单位点名批评。</w:t>
      </w:r>
    </w:p>
    <w:p w14:paraId="4ABC91BB">
      <w:pPr>
        <w:widowControl w:val="0"/>
        <w:numPr>
          <w:ilvl w:val="0"/>
          <w:numId w:val="9"/>
        </w:numPr>
        <w:adjustRightInd w:val="0"/>
        <w:spacing w:line="360" w:lineRule="auto"/>
        <w:ind w:left="0" w:firstLine="420"/>
        <w:jc w:val="both"/>
        <w:rPr>
          <w:rFonts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44"/>
          <w:sz w:val="32"/>
          <w:szCs w:val="32"/>
          <w:highlight w:val="none"/>
          <w:lang w:val="en-US" w:eastAsia="zh-CN" w:bidi="ar-SA"/>
          <w14:textFill>
            <w14:solidFill>
              <w14:schemeClr w14:val="tx1"/>
            </w14:solidFill>
          </w14:textFill>
        </w:rPr>
        <w:t>其它造成重大经济类问题。</w:t>
      </w:r>
    </w:p>
    <w:p w14:paraId="066EA3B2">
      <w:pPr>
        <w:numPr>
          <w:ilvl w:val="0"/>
          <w:numId w:val="2"/>
        </w:numPr>
        <w:tabs>
          <w:tab w:val="left" w:pos="900"/>
        </w:tabs>
        <w:spacing w:line="360" w:lineRule="auto"/>
        <w:ind w:left="0" w:firstLine="640" w:firstLineChars="200"/>
        <w:rPr>
          <w:rFonts w:hint="eastAsia" w:ascii="仿宋_GB2312" w:hAnsi="仿宋_GB2312" w:eastAsia="仿宋_GB2312" w:cs="仿宋_GB2312"/>
          <w:color w:val="000000" w:themeColor="text1"/>
          <w:sz w:val="32"/>
          <w:szCs w:val="32"/>
          <w:highlight w:val="none"/>
          <w14:textFill>
            <w14:solidFill>
              <w14:schemeClr w14:val="tx1"/>
            </w14:solidFill>
          </w14:textFill>
        </w:rPr>
      </w:pPr>
      <w:bookmarkStart w:id="53" w:name="_Toc7079056"/>
      <w:bookmarkStart w:id="54" w:name="_Toc83541721"/>
      <w:r>
        <w:rPr>
          <w:rFonts w:hint="eastAsia" w:ascii="仿宋_GB2312" w:hAnsi="仿宋_GB2312" w:eastAsia="仿宋_GB2312" w:cs="仿宋_GB2312"/>
          <w:color w:val="000000" w:themeColor="text1"/>
          <w:sz w:val="32"/>
          <w:szCs w:val="32"/>
          <w:highlight w:val="none"/>
          <w14:textFill>
            <w14:solidFill>
              <w14:schemeClr w14:val="tx1"/>
            </w14:solidFill>
          </w14:textFill>
        </w:rPr>
        <w:t>对于情节较轻的，可通过谈话等方式对相关责任人进行批评教育，责令做出书面检查；对责任单位和责任人进行通报批评，结合网络运行维护考评予以扣减分数或取消考评资格，以上方式可合并使用；对于情节严重的，依据《中共</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中国移动</w:t>
      </w:r>
      <w:r>
        <w:rPr>
          <w:rFonts w:hint="eastAsia" w:ascii="仿宋_GB2312" w:hAnsi="仿宋_GB2312" w:eastAsia="仿宋_GB2312" w:cs="仿宋_GB2312"/>
          <w:color w:val="000000" w:themeColor="text1"/>
          <w:sz w:val="32"/>
          <w:szCs w:val="32"/>
          <w:highlight w:val="none"/>
          <w14:textFill>
            <w14:solidFill>
              <w14:schemeClr w14:val="tx1"/>
            </w14:solidFill>
          </w14:textFill>
        </w:rPr>
        <w:t>通信集团公司党组问责工作管理办法》、《</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中国移动</w:t>
      </w:r>
      <w:r>
        <w:rPr>
          <w:rFonts w:hint="eastAsia" w:ascii="仿宋_GB2312" w:hAnsi="仿宋_GB2312" w:eastAsia="仿宋_GB2312" w:cs="仿宋_GB2312"/>
          <w:color w:val="000000" w:themeColor="text1"/>
          <w:sz w:val="32"/>
          <w:szCs w:val="32"/>
          <w:highlight w:val="none"/>
          <w14:textFill>
            <w14:solidFill>
              <w14:schemeClr w14:val="tx1"/>
            </w14:solidFill>
          </w14:textFill>
        </w:rPr>
        <w:t>通信集团公司员工违纪违规处分条例》</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auto"/>
          <w:sz w:val="32"/>
          <w:szCs w:val="32"/>
          <w:highlight w:val="none"/>
        </w:rPr>
        <w:t>《中国移动通信集团江苏有限公司员工工作职责履行责任追究管理办法》等</w:t>
      </w:r>
      <w:r>
        <w:rPr>
          <w:rFonts w:hint="eastAsia" w:ascii="仿宋_GB2312" w:hAnsi="仿宋_GB2312" w:eastAsia="仿宋_GB2312" w:cs="仿宋_GB2312"/>
          <w:color w:val="000000" w:themeColor="text1"/>
          <w:sz w:val="32"/>
          <w:szCs w:val="32"/>
          <w:highlight w:val="none"/>
          <w14:textFill>
            <w14:solidFill>
              <w14:schemeClr w14:val="tx1"/>
            </w14:solidFill>
          </w14:textFill>
        </w:rPr>
        <w:t>办法执行；对于涉嫌违法犯罪的，移送司法机关处理。</w:t>
      </w:r>
    </w:p>
    <w:p w14:paraId="5DC8EF3A">
      <w:pPr>
        <w:widowControl w:val="0"/>
        <w:numPr>
          <w:ilvl w:val="0"/>
          <w:numId w:val="0"/>
        </w:numPr>
        <w:tabs>
          <w:tab w:val="left" w:pos="900"/>
        </w:tabs>
        <w:spacing w:line="360" w:lineRule="auto"/>
        <w:jc w:val="both"/>
        <w:rPr>
          <w:rFonts w:hint="eastAsia" w:ascii="仿宋_GB2312" w:hAnsi="仿宋_GB2312" w:eastAsia="仿宋_GB2312" w:cs="仿宋_GB2312"/>
          <w:color w:val="000000" w:themeColor="text1"/>
          <w:sz w:val="32"/>
          <w:szCs w:val="32"/>
          <w:highlight w:val="none"/>
          <w14:textFill>
            <w14:solidFill>
              <w14:schemeClr w14:val="tx1"/>
            </w14:solidFill>
          </w14:textFill>
        </w:rPr>
      </w:pPr>
    </w:p>
    <w:p w14:paraId="4C6C451E">
      <w:pPr>
        <w:widowControl w:val="0"/>
        <w:numPr>
          <w:ilvl w:val="0"/>
          <w:numId w:val="0"/>
        </w:numPr>
        <w:tabs>
          <w:tab w:val="left" w:pos="900"/>
        </w:tabs>
        <w:spacing w:line="360" w:lineRule="auto"/>
        <w:jc w:val="both"/>
        <w:rPr>
          <w:rFonts w:hint="eastAsia" w:ascii="仿宋_GB2312" w:hAnsi="仿宋_GB2312" w:eastAsia="仿宋_GB2312" w:cs="仿宋_GB2312"/>
          <w:color w:val="000000" w:themeColor="text1"/>
          <w:sz w:val="32"/>
          <w:szCs w:val="32"/>
          <w:highlight w:val="none"/>
          <w14:textFill>
            <w14:solidFill>
              <w14:schemeClr w14:val="tx1"/>
            </w14:solidFill>
          </w14:textFill>
        </w:rPr>
      </w:pPr>
    </w:p>
    <w:p w14:paraId="5FDA802E">
      <w:pPr>
        <w:keepNext/>
        <w:keepLines/>
        <w:pageBreakBefore w:val="0"/>
        <w:widowControl w:val="0"/>
        <w:numPr>
          <w:ilvl w:val="0"/>
          <w:numId w:val="1"/>
        </w:numPr>
        <w:kinsoku/>
        <w:wordWrap/>
        <w:overflowPunct/>
        <w:topLinePunct w:val="0"/>
        <w:autoSpaceDE/>
        <w:autoSpaceDN/>
        <w:bidi w:val="0"/>
        <w:adjustRightInd/>
        <w:snapToGrid/>
        <w:spacing w:before="340" w:after="330" w:line="360" w:lineRule="auto"/>
        <w:ind w:left="0" w:firstLine="0"/>
        <w:jc w:val="center"/>
        <w:textAlignment w:val="auto"/>
        <w:outlineLvl w:val="0"/>
        <w:rPr>
          <w:rFonts w:ascii="黑体" w:hAnsi="黑体" w:eastAsia="黑体" w:cs="Times New Roman"/>
          <w:bCs/>
          <w:color w:val="000000" w:themeColor="text1"/>
          <w:kern w:val="44"/>
          <w:sz w:val="36"/>
          <w:szCs w:val="36"/>
          <w:highlight w:val="none"/>
          <w14:textFill>
            <w14:solidFill>
              <w14:schemeClr w14:val="tx1"/>
            </w14:solidFill>
          </w14:textFill>
        </w:rPr>
      </w:pPr>
      <w:r>
        <w:rPr>
          <w:rFonts w:hint="eastAsia" w:ascii="黑体" w:hAnsi="黑体" w:eastAsia="黑体" w:cs="Times New Roman"/>
          <w:bCs/>
          <w:color w:val="000000" w:themeColor="text1"/>
          <w:kern w:val="44"/>
          <w:sz w:val="36"/>
          <w:szCs w:val="36"/>
          <w:highlight w:val="none"/>
          <w14:textFill>
            <w14:solidFill>
              <w14:schemeClr w14:val="tx1"/>
            </w14:solidFill>
          </w14:textFill>
        </w:rPr>
        <w:t xml:space="preserve"> </w:t>
      </w:r>
      <w:bookmarkStart w:id="55" w:name="_Toc30583"/>
      <w:bookmarkStart w:id="56" w:name="_Toc27790"/>
      <w:bookmarkStart w:id="57" w:name="_Toc24531"/>
      <w:r>
        <w:rPr>
          <w:rFonts w:hint="eastAsia" w:ascii="黑体" w:hAnsi="黑体" w:eastAsia="黑体" w:cs="Times New Roman"/>
          <w:bCs/>
          <w:color w:val="000000" w:themeColor="text1"/>
          <w:kern w:val="44"/>
          <w:sz w:val="36"/>
          <w:szCs w:val="36"/>
          <w:highlight w:val="none"/>
          <w14:textFill>
            <w14:solidFill>
              <w14:schemeClr w14:val="tx1"/>
            </w14:solidFill>
          </w14:textFill>
        </w:rPr>
        <w:t>附则</w:t>
      </w:r>
      <w:bookmarkEnd w:id="37"/>
      <w:bookmarkEnd w:id="53"/>
      <w:bookmarkEnd w:id="54"/>
      <w:bookmarkEnd w:id="55"/>
      <w:bookmarkEnd w:id="56"/>
      <w:bookmarkEnd w:id="57"/>
    </w:p>
    <w:p w14:paraId="5A0546CC">
      <w:pPr>
        <w:numPr>
          <w:ilvl w:val="0"/>
          <w:numId w:val="7"/>
        </w:numPr>
        <w:tabs>
          <w:tab w:val="left" w:pos="900"/>
        </w:tabs>
        <w:spacing w:line="360" w:lineRule="auto"/>
        <w:ind w:left="0" w:firstLine="640" w:firstLineChars="200"/>
        <w:rPr>
          <w:rFonts w:ascii="仿宋_GB2312" w:hAnsi="仿宋" w:eastAsia="仿宋_GB2312" w:cs="仿宋"/>
          <w:color w:val="000000" w:themeColor="text1"/>
          <w:sz w:val="32"/>
          <w:szCs w:val="32"/>
          <w:highlight w:val="none"/>
          <w14:textFill>
            <w14:solidFill>
              <w14:schemeClr w14:val="tx1"/>
            </w14:solidFill>
          </w14:textFill>
        </w:rPr>
      </w:pPr>
      <w:r>
        <w:rPr>
          <w:rFonts w:hint="eastAsia" w:ascii="仿宋_GB2312" w:hAnsi="仿宋" w:eastAsia="仿宋_GB2312" w:cs="仿宋"/>
          <w:color w:val="000000" w:themeColor="text1"/>
          <w:sz w:val="32"/>
          <w:szCs w:val="32"/>
          <w:highlight w:val="none"/>
          <w14:textFill>
            <w14:solidFill>
              <w14:schemeClr w14:val="tx1"/>
            </w14:solidFill>
          </w14:textFill>
        </w:rPr>
        <w:t>本办法按照《</w:t>
      </w:r>
      <w:r>
        <w:rPr>
          <w:rFonts w:hint="eastAsia" w:ascii="仿宋_GB2312" w:hAnsi="仿宋" w:eastAsia="仿宋_GB2312" w:cs="仿宋"/>
          <w:color w:val="000000" w:themeColor="text1"/>
          <w:sz w:val="32"/>
          <w:szCs w:val="32"/>
          <w:highlight w:val="none"/>
          <w:lang w:eastAsia="zh-CN"/>
          <w14:textFill>
            <w14:solidFill>
              <w14:schemeClr w14:val="tx1"/>
            </w14:solidFill>
          </w14:textFill>
        </w:rPr>
        <w:t>中国移动江苏公司</w:t>
      </w:r>
      <w:r>
        <w:rPr>
          <w:rFonts w:hint="eastAsia" w:ascii="仿宋_GB2312" w:hAnsi="仿宋" w:eastAsia="仿宋_GB2312" w:cs="仿宋"/>
          <w:color w:val="000000" w:themeColor="text1"/>
          <w:sz w:val="32"/>
          <w:szCs w:val="32"/>
          <w:highlight w:val="none"/>
          <w14:textFill>
            <w14:solidFill>
              <w14:schemeClr w14:val="tx1"/>
            </w14:solidFill>
          </w14:textFill>
        </w:rPr>
        <w:t>网络运行维护规程》框架编制，未详尽描述部分参照《</w:t>
      </w:r>
      <w:r>
        <w:rPr>
          <w:rFonts w:hint="eastAsia" w:ascii="仿宋_GB2312" w:hAnsi="仿宋" w:eastAsia="仿宋_GB2312" w:cs="仿宋"/>
          <w:color w:val="000000" w:themeColor="text1"/>
          <w:sz w:val="32"/>
          <w:szCs w:val="32"/>
          <w:highlight w:val="none"/>
          <w:lang w:eastAsia="zh-CN"/>
          <w14:textFill>
            <w14:solidFill>
              <w14:schemeClr w14:val="tx1"/>
            </w14:solidFill>
          </w14:textFill>
        </w:rPr>
        <w:t>中国移动江苏公司</w:t>
      </w:r>
      <w:r>
        <w:rPr>
          <w:rFonts w:hint="eastAsia" w:ascii="仿宋_GB2312" w:hAnsi="仿宋" w:eastAsia="仿宋_GB2312" w:cs="仿宋"/>
          <w:color w:val="000000" w:themeColor="text1"/>
          <w:sz w:val="32"/>
          <w:szCs w:val="32"/>
          <w:highlight w:val="none"/>
          <w14:textFill>
            <w14:solidFill>
              <w14:schemeClr w14:val="tx1"/>
            </w14:solidFill>
          </w14:textFill>
        </w:rPr>
        <w:t>网络运行维护规程》执行。</w:t>
      </w:r>
    </w:p>
    <w:p w14:paraId="26B11279">
      <w:pPr>
        <w:numPr>
          <w:ilvl w:val="0"/>
          <w:numId w:val="7"/>
        </w:numPr>
        <w:tabs>
          <w:tab w:val="left" w:pos="900"/>
        </w:tabs>
        <w:spacing w:line="360" w:lineRule="auto"/>
        <w:ind w:left="0" w:firstLine="640" w:firstLineChars="200"/>
        <w:rPr>
          <w:rFonts w:hint="default" w:ascii="仿宋_GB2312" w:eastAsia="仿宋_GB2312" w:cs="Times New Roman"/>
          <w:b/>
          <w:bCs/>
          <w:color w:val="000000" w:themeColor="text1"/>
          <w:sz w:val="28"/>
          <w:szCs w:val="28"/>
          <w:highlight w:val="none"/>
          <w:lang w:val="en-US" w:eastAsia="zh-CN"/>
          <w14:textFill>
            <w14:solidFill>
              <w14:schemeClr w14:val="tx1"/>
            </w14:solidFill>
          </w14:textFill>
        </w:rPr>
      </w:pPr>
      <w:r>
        <w:rPr>
          <w:rFonts w:hint="eastAsia" w:ascii="仿宋" w:hAnsi="仿宋" w:eastAsia="仿宋_GB2312" w:cs="Times New Roman"/>
          <w:color w:val="000000" w:themeColor="text1"/>
          <w:sz w:val="32"/>
          <w:szCs w:val="32"/>
          <w:highlight w:val="none"/>
          <w14:textFill>
            <w14:solidFill>
              <w14:schemeClr w14:val="tx1"/>
            </w14:solidFill>
          </w14:textFill>
        </w:rPr>
        <w:t>本办法归</w:t>
      </w:r>
      <w:r>
        <w:rPr>
          <w:rFonts w:hint="eastAsia" w:ascii="仿宋" w:hAnsi="仿宋" w:eastAsia="仿宋_GB2312" w:cs="Times New Roman"/>
          <w:color w:val="000000" w:themeColor="text1"/>
          <w:sz w:val="32"/>
          <w:szCs w:val="32"/>
          <w:highlight w:val="none"/>
          <w:lang w:eastAsia="zh-CN"/>
          <w14:textFill>
            <w14:solidFill>
              <w14:schemeClr w14:val="tx1"/>
            </w14:solidFill>
          </w14:textFill>
        </w:rPr>
        <w:t>中国移动江苏公司</w:t>
      </w:r>
      <w:r>
        <w:rPr>
          <w:rFonts w:hint="eastAsia" w:ascii="仿宋" w:hAnsi="仿宋" w:eastAsia="仿宋_GB2312" w:cs="Times New Roman"/>
          <w:color w:val="000000" w:themeColor="text1"/>
          <w:sz w:val="32"/>
          <w:szCs w:val="32"/>
          <w:highlight w:val="none"/>
          <w:lang w:val="en-US" w:eastAsia="zh-CN"/>
          <w14:textFill>
            <w14:solidFill>
              <w14:schemeClr w14:val="tx1"/>
            </w14:solidFill>
          </w14:textFill>
        </w:rPr>
        <w:t>网络</w:t>
      </w:r>
      <w:r>
        <w:rPr>
          <w:rFonts w:hint="eastAsia" w:ascii="仿宋" w:hAnsi="仿宋" w:eastAsia="仿宋_GB2312" w:cs="Times New Roman"/>
          <w:color w:val="000000" w:themeColor="text1"/>
          <w:sz w:val="32"/>
          <w:szCs w:val="32"/>
          <w:highlight w:val="none"/>
          <w14:textFill>
            <w14:solidFill>
              <w14:schemeClr w14:val="tx1"/>
            </w14:solidFill>
          </w14:textFill>
        </w:rPr>
        <w:t>部解释，自印发之日起实施。原《</w:t>
      </w:r>
      <w:r>
        <w:rPr>
          <w:rFonts w:hint="eastAsia" w:ascii="仿宋" w:hAnsi="仿宋" w:eastAsia="仿宋_GB2312" w:cs="Times New Roman"/>
          <w:color w:val="000000" w:themeColor="text1"/>
          <w:sz w:val="32"/>
          <w:szCs w:val="32"/>
          <w:highlight w:val="none"/>
          <w:lang w:eastAsia="zh-CN"/>
          <w14:textFill>
            <w14:solidFill>
              <w14:schemeClr w14:val="tx1"/>
            </w14:solidFill>
          </w14:textFill>
        </w:rPr>
        <w:t>中国移动江苏公司</w:t>
      </w:r>
      <w:r>
        <w:rPr>
          <w:rFonts w:hint="eastAsia" w:ascii="仿宋" w:hAnsi="仿宋" w:eastAsia="仿宋_GB2312" w:cs="Times New Roman"/>
          <w:color w:val="000000" w:themeColor="text1"/>
          <w:sz w:val="32"/>
          <w:szCs w:val="32"/>
          <w:highlight w:val="none"/>
          <w14:textFill>
            <w14:solidFill>
              <w14:schemeClr w14:val="tx1"/>
            </w14:solidFill>
          </w14:textFill>
        </w:rPr>
        <w:t>网络</w:t>
      </w:r>
      <w:r>
        <w:rPr>
          <w:rFonts w:hint="eastAsia" w:ascii="仿宋" w:hAnsi="仿宋" w:eastAsia="仿宋_GB2312" w:cs="Times New Roman"/>
          <w:color w:val="000000" w:themeColor="text1"/>
          <w:sz w:val="32"/>
          <w:szCs w:val="32"/>
          <w:highlight w:val="none"/>
          <w:lang w:val="en-US" w:eastAsia="zh-CN"/>
          <w14:textFill>
            <w14:solidFill>
              <w14:schemeClr w14:val="tx1"/>
            </w14:solidFill>
          </w14:textFill>
        </w:rPr>
        <w:t>成本</w:t>
      </w:r>
      <w:r>
        <w:rPr>
          <w:rFonts w:hint="eastAsia" w:ascii="仿宋" w:hAnsi="仿宋" w:eastAsia="仿宋_GB2312" w:cs="Times New Roman"/>
          <w:color w:val="000000" w:themeColor="text1"/>
          <w:sz w:val="32"/>
          <w:szCs w:val="32"/>
          <w:highlight w:val="none"/>
          <w14:textFill>
            <w14:solidFill>
              <w14:schemeClr w14:val="tx1"/>
            </w14:solidFill>
          </w14:textFill>
        </w:rPr>
        <w:t>管理办法（202</w:t>
      </w:r>
      <w:r>
        <w:rPr>
          <w:rFonts w:hint="eastAsia" w:ascii="仿宋" w:hAnsi="仿宋" w:eastAsia="仿宋_GB2312" w:cs="Times New Roman"/>
          <w:color w:val="000000" w:themeColor="text1"/>
          <w:sz w:val="32"/>
          <w:szCs w:val="32"/>
          <w:highlight w:val="none"/>
          <w:lang w:val="en-US" w:eastAsia="zh-CN"/>
          <w14:textFill>
            <w14:solidFill>
              <w14:schemeClr w14:val="tx1"/>
            </w14:solidFill>
          </w14:textFill>
        </w:rPr>
        <w:t>3</w:t>
      </w:r>
      <w:r>
        <w:rPr>
          <w:rFonts w:hint="eastAsia" w:ascii="仿宋" w:hAnsi="仿宋" w:eastAsia="仿宋_GB2312" w:cs="Times New Roman"/>
          <w:color w:val="000000" w:themeColor="text1"/>
          <w:sz w:val="32"/>
          <w:szCs w:val="32"/>
          <w:highlight w:val="none"/>
          <w14:textFill>
            <w14:solidFill>
              <w14:schemeClr w14:val="tx1"/>
            </w14:solidFill>
          </w14:textFill>
        </w:rPr>
        <w:t>版）》同时废止。本办法自下发之日起执行。</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A988D">
    <w:pPr>
      <w:pStyle w:val="5"/>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13</w:t>
    </w:r>
    <w:r>
      <w:rPr>
        <w:b/>
        <w:bCs/>
        <w:sz w:val="24"/>
        <w:szCs w:val="24"/>
      </w:rPr>
      <w:fldChar w:fldCharType="end"/>
    </w:r>
  </w:p>
  <w:p w14:paraId="1B13C477">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F7217"/>
    <w:multiLevelType w:val="multilevel"/>
    <w:tmpl w:val="1A9F7217"/>
    <w:lvl w:ilvl="0" w:tentative="0">
      <w:start w:val="1"/>
      <w:numFmt w:val="japaneseCounting"/>
      <w:lvlText w:val="第%1条"/>
      <w:lvlJc w:val="left"/>
      <w:pPr>
        <w:ind w:left="5954" w:hanging="1134"/>
      </w:pPr>
      <w:rPr>
        <w:rFonts w:hint="eastAsia" w:ascii="仿宋_GB2312" w:hAnsi="仿宋" w:eastAsia="仿宋_GB2312" w:cs="Times New Roman"/>
        <w:b/>
        <w:color w:val="auto"/>
        <w:sz w:val="32"/>
        <w:szCs w:val="24"/>
        <w:lang w:val="en-US"/>
      </w:rPr>
    </w:lvl>
    <w:lvl w:ilvl="1" w:tentative="0">
      <w:start w:val="1"/>
      <w:numFmt w:val="decimal"/>
      <w:lvlText w:val="%2、"/>
      <w:lvlJc w:val="left"/>
      <w:pPr>
        <w:ind w:left="4892" w:hanging="360"/>
      </w:pPr>
    </w:lvl>
    <w:lvl w:ilvl="2" w:tentative="0">
      <w:start w:val="1"/>
      <w:numFmt w:val="lowerRoman"/>
      <w:lvlText w:val="%3."/>
      <w:lvlJc w:val="right"/>
      <w:pPr>
        <w:ind w:left="5372" w:hanging="420"/>
      </w:pPr>
    </w:lvl>
    <w:lvl w:ilvl="3" w:tentative="0">
      <w:start w:val="1"/>
      <w:numFmt w:val="decimal"/>
      <w:lvlText w:val="%4."/>
      <w:lvlJc w:val="left"/>
      <w:pPr>
        <w:ind w:left="5792" w:hanging="420"/>
      </w:pPr>
    </w:lvl>
    <w:lvl w:ilvl="4" w:tentative="0">
      <w:start w:val="1"/>
      <w:numFmt w:val="lowerLetter"/>
      <w:lvlText w:val="%5)"/>
      <w:lvlJc w:val="left"/>
      <w:pPr>
        <w:ind w:left="6212" w:hanging="420"/>
      </w:pPr>
    </w:lvl>
    <w:lvl w:ilvl="5" w:tentative="0">
      <w:start w:val="1"/>
      <w:numFmt w:val="lowerRoman"/>
      <w:lvlText w:val="%6."/>
      <w:lvlJc w:val="right"/>
      <w:pPr>
        <w:ind w:left="6632" w:hanging="420"/>
      </w:pPr>
    </w:lvl>
    <w:lvl w:ilvl="6" w:tentative="0">
      <w:start w:val="1"/>
      <w:numFmt w:val="decimal"/>
      <w:lvlText w:val="%7."/>
      <w:lvlJc w:val="left"/>
      <w:pPr>
        <w:ind w:left="7052" w:hanging="420"/>
      </w:pPr>
    </w:lvl>
    <w:lvl w:ilvl="7" w:tentative="0">
      <w:start w:val="1"/>
      <w:numFmt w:val="lowerLetter"/>
      <w:lvlText w:val="%8)"/>
      <w:lvlJc w:val="left"/>
      <w:pPr>
        <w:ind w:left="7472" w:hanging="420"/>
      </w:pPr>
    </w:lvl>
    <w:lvl w:ilvl="8" w:tentative="0">
      <w:start w:val="1"/>
      <w:numFmt w:val="lowerRoman"/>
      <w:lvlText w:val="%9."/>
      <w:lvlJc w:val="right"/>
      <w:pPr>
        <w:ind w:left="7892" w:hanging="420"/>
      </w:pPr>
    </w:lvl>
  </w:abstractNum>
  <w:abstractNum w:abstractNumId="1">
    <w:nsid w:val="2288B0F7"/>
    <w:multiLevelType w:val="singleLevel"/>
    <w:tmpl w:val="2288B0F7"/>
    <w:lvl w:ilvl="0" w:tentative="0">
      <w:start w:val="1"/>
      <w:numFmt w:val="chineseCounting"/>
      <w:suff w:val="nothing"/>
      <w:lvlText w:val="（%1）"/>
      <w:lvlJc w:val="left"/>
      <w:pPr>
        <w:ind w:left="0" w:firstLine="420"/>
      </w:pPr>
      <w:rPr>
        <w:rFonts w:hint="eastAsia"/>
      </w:rPr>
    </w:lvl>
  </w:abstractNum>
  <w:abstractNum w:abstractNumId="2">
    <w:nsid w:val="2A325B6A"/>
    <w:multiLevelType w:val="singleLevel"/>
    <w:tmpl w:val="2A325B6A"/>
    <w:lvl w:ilvl="0" w:tentative="0">
      <w:start w:val="1"/>
      <w:numFmt w:val="chineseCounting"/>
      <w:suff w:val="nothing"/>
      <w:lvlText w:val="（%1）"/>
      <w:lvlJc w:val="left"/>
      <w:pPr>
        <w:ind w:left="0" w:firstLine="420"/>
      </w:pPr>
      <w:rPr>
        <w:rFonts w:hint="eastAsia"/>
      </w:rPr>
    </w:lvl>
  </w:abstractNum>
  <w:abstractNum w:abstractNumId="3">
    <w:nsid w:val="3363871E"/>
    <w:multiLevelType w:val="singleLevel"/>
    <w:tmpl w:val="3363871E"/>
    <w:lvl w:ilvl="0" w:tentative="0">
      <w:start w:val="1"/>
      <w:numFmt w:val="decimal"/>
      <w:lvlText w:val="%1."/>
      <w:lvlJc w:val="left"/>
      <w:pPr>
        <w:ind w:left="425" w:hanging="425"/>
      </w:pPr>
      <w:rPr>
        <w:rFonts w:hint="default"/>
      </w:rPr>
    </w:lvl>
  </w:abstractNum>
  <w:abstractNum w:abstractNumId="4">
    <w:nsid w:val="4985376A"/>
    <w:multiLevelType w:val="multilevel"/>
    <w:tmpl w:val="4985376A"/>
    <w:lvl w:ilvl="0" w:tentative="0">
      <w:start w:val="1"/>
      <w:numFmt w:val="chineseCountingThousand"/>
      <w:suff w:val="space"/>
      <w:lvlText w:val="第%1章"/>
      <w:lvlJc w:val="left"/>
      <w:pPr>
        <w:ind w:left="0" w:firstLine="0"/>
      </w:pPr>
      <w:rPr>
        <w:rFonts w:hint="eastAsia" w:ascii="黑体" w:hAnsi="黑体" w:eastAsia="黑体" w:cs="黑体"/>
        <w:sz w:val="36"/>
        <w:szCs w:val="36"/>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ACD3360"/>
    <w:multiLevelType w:val="singleLevel"/>
    <w:tmpl w:val="4ACD3360"/>
    <w:lvl w:ilvl="0" w:tentative="0">
      <w:start w:val="1"/>
      <w:numFmt w:val="decimal"/>
      <w:lvlText w:val="%1."/>
      <w:lvlJc w:val="left"/>
      <w:pPr>
        <w:ind w:left="425" w:hanging="425"/>
      </w:pPr>
      <w:rPr>
        <w:rFonts w:hint="default"/>
      </w:rPr>
    </w:lvl>
  </w:abstractNum>
  <w:abstractNum w:abstractNumId="6">
    <w:nsid w:val="5892545B"/>
    <w:multiLevelType w:val="singleLevel"/>
    <w:tmpl w:val="5892545B"/>
    <w:lvl w:ilvl="0" w:tentative="0">
      <w:start w:val="1"/>
      <w:numFmt w:val="decimal"/>
      <w:lvlText w:val="%1."/>
      <w:lvlJc w:val="left"/>
      <w:pPr>
        <w:ind w:left="425" w:hanging="425"/>
      </w:pPr>
      <w:rPr>
        <w:rFonts w:hint="default"/>
      </w:rPr>
    </w:lvl>
  </w:abstractNum>
  <w:abstractNum w:abstractNumId="7">
    <w:nsid w:val="5DE843C8"/>
    <w:multiLevelType w:val="singleLevel"/>
    <w:tmpl w:val="5DE843C8"/>
    <w:lvl w:ilvl="0" w:tentative="0">
      <w:start w:val="1"/>
      <w:numFmt w:val="chineseCounting"/>
      <w:suff w:val="nothing"/>
      <w:lvlText w:val="（%1）"/>
      <w:lvlJc w:val="left"/>
      <w:pPr>
        <w:ind w:left="0" w:firstLine="420"/>
      </w:pPr>
      <w:rPr>
        <w:rFonts w:hint="eastAsia"/>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5"/>
  </w:num>
  <w:num w:numId="5">
    <w:abstractNumId w:val="3"/>
  </w:num>
  <w:num w:numId="6">
    <w:abstractNumId w:val="6"/>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4MzhmOWRhMTMyZDA0MTA4Zjg5MTM0ZGQ0OGY1ZmMifQ=="/>
  </w:docVars>
  <w:rsids>
    <w:rsidRoot w:val="009101DE"/>
    <w:rsid w:val="00000151"/>
    <w:rsid w:val="00000608"/>
    <w:rsid w:val="000027AB"/>
    <w:rsid w:val="00003A4E"/>
    <w:rsid w:val="00003ECC"/>
    <w:rsid w:val="0000502C"/>
    <w:rsid w:val="00005265"/>
    <w:rsid w:val="00005D69"/>
    <w:rsid w:val="00006DD0"/>
    <w:rsid w:val="00010162"/>
    <w:rsid w:val="0001452E"/>
    <w:rsid w:val="00014759"/>
    <w:rsid w:val="0001535E"/>
    <w:rsid w:val="00024347"/>
    <w:rsid w:val="00024BF7"/>
    <w:rsid w:val="00026296"/>
    <w:rsid w:val="00030A4A"/>
    <w:rsid w:val="0003167E"/>
    <w:rsid w:val="00032101"/>
    <w:rsid w:val="000337CD"/>
    <w:rsid w:val="00033AED"/>
    <w:rsid w:val="00040852"/>
    <w:rsid w:val="00043B43"/>
    <w:rsid w:val="0004426A"/>
    <w:rsid w:val="000446E2"/>
    <w:rsid w:val="00046543"/>
    <w:rsid w:val="000512D9"/>
    <w:rsid w:val="00051712"/>
    <w:rsid w:val="000531FB"/>
    <w:rsid w:val="000537F7"/>
    <w:rsid w:val="00053F31"/>
    <w:rsid w:val="000549CE"/>
    <w:rsid w:val="000609B3"/>
    <w:rsid w:val="00062231"/>
    <w:rsid w:val="0006255C"/>
    <w:rsid w:val="000628E4"/>
    <w:rsid w:val="000650D4"/>
    <w:rsid w:val="00065FF0"/>
    <w:rsid w:val="0006632C"/>
    <w:rsid w:val="00071CDC"/>
    <w:rsid w:val="00072E6F"/>
    <w:rsid w:val="00073D11"/>
    <w:rsid w:val="00074489"/>
    <w:rsid w:val="0007798B"/>
    <w:rsid w:val="0008026B"/>
    <w:rsid w:val="000830A5"/>
    <w:rsid w:val="0008445F"/>
    <w:rsid w:val="00085B43"/>
    <w:rsid w:val="00086807"/>
    <w:rsid w:val="000944DA"/>
    <w:rsid w:val="000A0973"/>
    <w:rsid w:val="000A3997"/>
    <w:rsid w:val="000A3A02"/>
    <w:rsid w:val="000B118C"/>
    <w:rsid w:val="000B4590"/>
    <w:rsid w:val="000B5116"/>
    <w:rsid w:val="000B52F9"/>
    <w:rsid w:val="000B542F"/>
    <w:rsid w:val="000C5924"/>
    <w:rsid w:val="000C68C8"/>
    <w:rsid w:val="000D5663"/>
    <w:rsid w:val="000E0A86"/>
    <w:rsid w:val="000E1F67"/>
    <w:rsid w:val="000E29E2"/>
    <w:rsid w:val="000E2CB1"/>
    <w:rsid w:val="000E5DCD"/>
    <w:rsid w:val="000E706B"/>
    <w:rsid w:val="000F016C"/>
    <w:rsid w:val="000F2A51"/>
    <w:rsid w:val="000F329F"/>
    <w:rsid w:val="00100C92"/>
    <w:rsid w:val="001059FA"/>
    <w:rsid w:val="001078BC"/>
    <w:rsid w:val="00110C88"/>
    <w:rsid w:val="00111163"/>
    <w:rsid w:val="00111D22"/>
    <w:rsid w:val="00112C8D"/>
    <w:rsid w:val="00112E08"/>
    <w:rsid w:val="00116CDB"/>
    <w:rsid w:val="00116F3D"/>
    <w:rsid w:val="0012483A"/>
    <w:rsid w:val="00127EB8"/>
    <w:rsid w:val="0013039E"/>
    <w:rsid w:val="00132CC4"/>
    <w:rsid w:val="00133B7C"/>
    <w:rsid w:val="0013547A"/>
    <w:rsid w:val="00146E04"/>
    <w:rsid w:val="00151025"/>
    <w:rsid w:val="00152264"/>
    <w:rsid w:val="001522F8"/>
    <w:rsid w:val="00152EDA"/>
    <w:rsid w:val="00152F32"/>
    <w:rsid w:val="00155E6C"/>
    <w:rsid w:val="0015600E"/>
    <w:rsid w:val="00156C19"/>
    <w:rsid w:val="001626C5"/>
    <w:rsid w:val="0016498C"/>
    <w:rsid w:val="00166E19"/>
    <w:rsid w:val="00167912"/>
    <w:rsid w:val="00167FF5"/>
    <w:rsid w:val="0017083C"/>
    <w:rsid w:val="00170D5F"/>
    <w:rsid w:val="00170F56"/>
    <w:rsid w:val="001714FA"/>
    <w:rsid w:val="00173C94"/>
    <w:rsid w:val="001744F2"/>
    <w:rsid w:val="0017461D"/>
    <w:rsid w:val="00174A64"/>
    <w:rsid w:val="0017765A"/>
    <w:rsid w:val="00180558"/>
    <w:rsid w:val="00183C85"/>
    <w:rsid w:val="00183D81"/>
    <w:rsid w:val="00186854"/>
    <w:rsid w:val="00186D88"/>
    <w:rsid w:val="00190FA0"/>
    <w:rsid w:val="0019321B"/>
    <w:rsid w:val="001942D2"/>
    <w:rsid w:val="001A199F"/>
    <w:rsid w:val="001B1890"/>
    <w:rsid w:val="001B1A02"/>
    <w:rsid w:val="001B24E4"/>
    <w:rsid w:val="001B2B44"/>
    <w:rsid w:val="001B431B"/>
    <w:rsid w:val="001C1B16"/>
    <w:rsid w:val="001C23A7"/>
    <w:rsid w:val="001C2B16"/>
    <w:rsid w:val="001C4EA6"/>
    <w:rsid w:val="001D051B"/>
    <w:rsid w:val="001D13AF"/>
    <w:rsid w:val="001D62E0"/>
    <w:rsid w:val="001D7904"/>
    <w:rsid w:val="001E058C"/>
    <w:rsid w:val="001E1075"/>
    <w:rsid w:val="001E1CE0"/>
    <w:rsid w:val="001E341A"/>
    <w:rsid w:val="001E4066"/>
    <w:rsid w:val="001E467C"/>
    <w:rsid w:val="001F2260"/>
    <w:rsid w:val="001F25F6"/>
    <w:rsid w:val="001F2E37"/>
    <w:rsid w:val="001F4EC0"/>
    <w:rsid w:val="001F53F1"/>
    <w:rsid w:val="001F58B0"/>
    <w:rsid w:val="001F63D8"/>
    <w:rsid w:val="001F72C4"/>
    <w:rsid w:val="001F7DC5"/>
    <w:rsid w:val="00203316"/>
    <w:rsid w:val="0020460C"/>
    <w:rsid w:val="002110E1"/>
    <w:rsid w:val="0021178C"/>
    <w:rsid w:val="00221441"/>
    <w:rsid w:val="00221D17"/>
    <w:rsid w:val="00224323"/>
    <w:rsid w:val="00227790"/>
    <w:rsid w:val="00227FB4"/>
    <w:rsid w:val="0023084E"/>
    <w:rsid w:val="00231482"/>
    <w:rsid w:val="00235E1F"/>
    <w:rsid w:val="00235EFA"/>
    <w:rsid w:val="00240711"/>
    <w:rsid w:val="0024086C"/>
    <w:rsid w:val="002441DF"/>
    <w:rsid w:val="00246320"/>
    <w:rsid w:val="00246A01"/>
    <w:rsid w:val="00247EBC"/>
    <w:rsid w:val="0025529A"/>
    <w:rsid w:val="002554BA"/>
    <w:rsid w:val="0025634B"/>
    <w:rsid w:val="00271574"/>
    <w:rsid w:val="002802E8"/>
    <w:rsid w:val="00281970"/>
    <w:rsid w:val="00283C94"/>
    <w:rsid w:val="00284B61"/>
    <w:rsid w:val="00285DC3"/>
    <w:rsid w:val="00293CF6"/>
    <w:rsid w:val="002A0141"/>
    <w:rsid w:val="002A04AE"/>
    <w:rsid w:val="002A0597"/>
    <w:rsid w:val="002A0A8C"/>
    <w:rsid w:val="002A0BB4"/>
    <w:rsid w:val="002B0166"/>
    <w:rsid w:val="002B17EC"/>
    <w:rsid w:val="002B2F26"/>
    <w:rsid w:val="002B5496"/>
    <w:rsid w:val="002B6A91"/>
    <w:rsid w:val="002C5A16"/>
    <w:rsid w:val="002C7A86"/>
    <w:rsid w:val="002D0A37"/>
    <w:rsid w:val="002D0D20"/>
    <w:rsid w:val="002D0F4A"/>
    <w:rsid w:val="002D10D6"/>
    <w:rsid w:val="002D166B"/>
    <w:rsid w:val="002D2B35"/>
    <w:rsid w:val="002D432A"/>
    <w:rsid w:val="002D798D"/>
    <w:rsid w:val="002E00E2"/>
    <w:rsid w:val="002E0BE8"/>
    <w:rsid w:val="002E3793"/>
    <w:rsid w:val="002E3CBA"/>
    <w:rsid w:val="002E5411"/>
    <w:rsid w:val="002E65CA"/>
    <w:rsid w:val="002E6721"/>
    <w:rsid w:val="002F09A2"/>
    <w:rsid w:val="002F1ACF"/>
    <w:rsid w:val="002F2B50"/>
    <w:rsid w:val="002F7B84"/>
    <w:rsid w:val="003011AB"/>
    <w:rsid w:val="00304076"/>
    <w:rsid w:val="00305174"/>
    <w:rsid w:val="00311967"/>
    <w:rsid w:val="003125D7"/>
    <w:rsid w:val="003126B0"/>
    <w:rsid w:val="00314441"/>
    <w:rsid w:val="0031591B"/>
    <w:rsid w:val="00315E03"/>
    <w:rsid w:val="0032195F"/>
    <w:rsid w:val="00324598"/>
    <w:rsid w:val="0033057F"/>
    <w:rsid w:val="00330D51"/>
    <w:rsid w:val="00330E75"/>
    <w:rsid w:val="003312A9"/>
    <w:rsid w:val="00333802"/>
    <w:rsid w:val="00337094"/>
    <w:rsid w:val="00337786"/>
    <w:rsid w:val="00340119"/>
    <w:rsid w:val="00342078"/>
    <w:rsid w:val="003422DF"/>
    <w:rsid w:val="0034360C"/>
    <w:rsid w:val="0034373E"/>
    <w:rsid w:val="00343E11"/>
    <w:rsid w:val="00345415"/>
    <w:rsid w:val="00345E6D"/>
    <w:rsid w:val="00347102"/>
    <w:rsid w:val="00350F33"/>
    <w:rsid w:val="00351030"/>
    <w:rsid w:val="0035134B"/>
    <w:rsid w:val="003523FD"/>
    <w:rsid w:val="00353A9E"/>
    <w:rsid w:val="00353E65"/>
    <w:rsid w:val="00355611"/>
    <w:rsid w:val="00357AC3"/>
    <w:rsid w:val="00357C60"/>
    <w:rsid w:val="00367564"/>
    <w:rsid w:val="00367E1C"/>
    <w:rsid w:val="00370034"/>
    <w:rsid w:val="00371F73"/>
    <w:rsid w:val="003725E7"/>
    <w:rsid w:val="00373927"/>
    <w:rsid w:val="00374593"/>
    <w:rsid w:val="00376326"/>
    <w:rsid w:val="00376861"/>
    <w:rsid w:val="00380252"/>
    <w:rsid w:val="00382108"/>
    <w:rsid w:val="00383ACD"/>
    <w:rsid w:val="00383E77"/>
    <w:rsid w:val="00384682"/>
    <w:rsid w:val="00392A10"/>
    <w:rsid w:val="0039355B"/>
    <w:rsid w:val="00394048"/>
    <w:rsid w:val="00394506"/>
    <w:rsid w:val="00395ECC"/>
    <w:rsid w:val="003968D8"/>
    <w:rsid w:val="00396A21"/>
    <w:rsid w:val="003971F0"/>
    <w:rsid w:val="00397814"/>
    <w:rsid w:val="003A6F67"/>
    <w:rsid w:val="003B193D"/>
    <w:rsid w:val="003B53E2"/>
    <w:rsid w:val="003B571A"/>
    <w:rsid w:val="003B7859"/>
    <w:rsid w:val="003C026E"/>
    <w:rsid w:val="003C3621"/>
    <w:rsid w:val="003C4513"/>
    <w:rsid w:val="003C4A0D"/>
    <w:rsid w:val="003C6821"/>
    <w:rsid w:val="003D0193"/>
    <w:rsid w:val="003D1C63"/>
    <w:rsid w:val="003D2BC3"/>
    <w:rsid w:val="003D5D2A"/>
    <w:rsid w:val="003D6332"/>
    <w:rsid w:val="003E0A05"/>
    <w:rsid w:val="003E1D95"/>
    <w:rsid w:val="003E1DA8"/>
    <w:rsid w:val="003E4779"/>
    <w:rsid w:val="003E4965"/>
    <w:rsid w:val="003E704B"/>
    <w:rsid w:val="003E75D8"/>
    <w:rsid w:val="003F063E"/>
    <w:rsid w:val="003F09C1"/>
    <w:rsid w:val="003F1CCD"/>
    <w:rsid w:val="003F4AB5"/>
    <w:rsid w:val="00404A4F"/>
    <w:rsid w:val="00405444"/>
    <w:rsid w:val="00406B1A"/>
    <w:rsid w:val="00411037"/>
    <w:rsid w:val="00415B08"/>
    <w:rsid w:val="00416F33"/>
    <w:rsid w:val="00422376"/>
    <w:rsid w:val="00422D85"/>
    <w:rsid w:val="0042500E"/>
    <w:rsid w:val="00430A03"/>
    <w:rsid w:val="0043216A"/>
    <w:rsid w:val="004344F3"/>
    <w:rsid w:val="00435F7F"/>
    <w:rsid w:val="00436004"/>
    <w:rsid w:val="00447524"/>
    <w:rsid w:val="00452C10"/>
    <w:rsid w:val="00456F0D"/>
    <w:rsid w:val="0045763B"/>
    <w:rsid w:val="00462BE1"/>
    <w:rsid w:val="00464C4C"/>
    <w:rsid w:val="00465476"/>
    <w:rsid w:val="00466613"/>
    <w:rsid w:val="00466820"/>
    <w:rsid w:val="00467F37"/>
    <w:rsid w:val="00470AD3"/>
    <w:rsid w:val="0047360D"/>
    <w:rsid w:val="00473B82"/>
    <w:rsid w:val="00473C91"/>
    <w:rsid w:val="00475BD5"/>
    <w:rsid w:val="00475DE6"/>
    <w:rsid w:val="00475FE0"/>
    <w:rsid w:val="00476A30"/>
    <w:rsid w:val="004800CF"/>
    <w:rsid w:val="004802AF"/>
    <w:rsid w:val="0048126B"/>
    <w:rsid w:val="00481A9B"/>
    <w:rsid w:val="00481E2F"/>
    <w:rsid w:val="00483809"/>
    <w:rsid w:val="0048701A"/>
    <w:rsid w:val="00487C3C"/>
    <w:rsid w:val="004907FC"/>
    <w:rsid w:val="004919EB"/>
    <w:rsid w:val="00491A2F"/>
    <w:rsid w:val="004924CF"/>
    <w:rsid w:val="00494B4E"/>
    <w:rsid w:val="004959E9"/>
    <w:rsid w:val="00496090"/>
    <w:rsid w:val="00496511"/>
    <w:rsid w:val="004974CA"/>
    <w:rsid w:val="004A16E0"/>
    <w:rsid w:val="004A6134"/>
    <w:rsid w:val="004A7207"/>
    <w:rsid w:val="004B0ED3"/>
    <w:rsid w:val="004B579B"/>
    <w:rsid w:val="004B6406"/>
    <w:rsid w:val="004C184B"/>
    <w:rsid w:val="004C1AB5"/>
    <w:rsid w:val="004C2852"/>
    <w:rsid w:val="004C3799"/>
    <w:rsid w:val="004C4ABE"/>
    <w:rsid w:val="004C5D75"/>
    <w:rsid w:val="004C60A5"/>
    <w:rsid w:val="004C6989"/>
    <w:rsid w:val="004D0080"/>
    <w:rsid w:val="004D06AB"/>
    <w:rsid w:val="004D40F3"/>
    <w:rsid w:val="004D5DF4"/>
    <w:rsid w:val="004E0116"/>
    <w:rsid w:val="004E0A49"/>
    <w:rsid w:val="004E125B"/>
    <w:rsid w:val="004E68A1"/>
    <w:rsid w:val="004E6BB5"/>
    <w:rsid w:val="004E72D1"/>
    <w:rsid w:val="004E7446"/>
    <w:rsid w:val="004E76B8"/>
    <w:rsid w:val="004F0DBD"/>
    <w:rsid w:val="004F2455"/>
    <w:rsid w:val="005005AC"/>
    <w:rsid w:val="0050171B"/>
    <w:rsid w:val="00503D32"/>
    <w:rsid w:val="00511CD4"/>
    <w:rsid w:val="00512474"/>
    <w:rsid w:val="00512F14"/>
    <w:rsid w:val="00514C06"/>
    <w:rsid w:val="00515873"/>
    <w:rsid w:val="005204E3"/>
    <w:rsid w:val="005206B4"/>
    <w:rsid w:val="0052487D"/>
    <w:rsid w:val="00527A19"/>
    <w:rsid w:val="005309EE"/>
    <w:rsid w:val="005311A6"/>
    <w:rsid w:val="005321A6"/>
    <w:rsid w:val="00533430"/>
    <w:rsid w:val="00534E50"/>
    <w:rsid w:val="00534EE0"/>
    <w:rsid w:val="00535881"/>
    <w:rsid w:val="00535CC0"/>
    <w:rsid w:val="00536F3E"/>
    <w:rsid w:val="00540540"/>
    <w:rsid w:val="005414BD"/>
    <w:rsid w:val="00542506"/>
    <w:rsid w:val="00546119"/>
    <w:rsid w:val="005501C4"/>
    <w:rsid w:val="00552327"/>
    <w:rsid w:val="005535FF"/>
    <w:rsid w:val="00553EEF"/>
    <w:rsid w:val="005544D6"/>
    <w:rsid w:val="00557B4F"/>
    <w:rsid w:val="00563F65"/>
    <w:rsid w:val="00563F8E"/>
    <w:rsid w:val="00565124"/>
    <w:rsid w:val="00571C19"/>
    <w:rsid w:val="005721F7"/>
    <w:rsid w:val="005750C0"/>
    <w:rsid w:val="005771E1"/>
    <w:rsid w:val="00577D97"/>
    <w:rsid w:val="00581A84"/>
    <w:rsid w:val="005827FB"/>
    <w:rsid w:val="005832B0"/>
    <w:rsid w:val="005853B6"/>
    <w:rsid w:val="00586B16"/>
    <w:rsid w:val="00587D85"/>
    <w:rsid w:val="00587E5B"/>
    <w:rsid w:val="00587EFB"/>
    <w:rsid w:val="00591AA8"/>
    <w:rsid w:val="005927FB"/>
    <w:rsid w:val="00593405"/>
    <w:rsid w:val="0059441B"/>
    <w:rsid w:val="00594A94"/>
    <w:rsid w:val="00594ED8"/>
    <w:rsid w:val="00596854"/>
    <w:rsid w:val="005A1792"/>
    <w:rsid w:val="005A29E8"/>
    <w:rsid w:val="005A3D74"/>
    <w:rsid w:val="005B4B1B"/>
    <w:rsid w:val="005C05A9"/>
    <w:rsid w:val="005C1DBA"/>
    <w:rsid w:val="005C5571"/>
    <w:rsid w:val="005C5822"/>
    <w:rsid w:val="005C5A83"/>
    <w:rsid w:val="005C6EE3"/>
    <w:rsid w:val="005D0AE1"/>
    <w:rsid w:val="005D5BCB"/>
    <w:rsid w:val="005D68F4"/>
    <w:rsid w:val="005D7C17"/>
    <w:rsid w:val="005E04A0"/>
    <w:rsid w:val="005E424A"/>
    <w:rsid w:val="005E49B3"/>
    <w:rsid w:val="005E4A82"/>
    <w:rsid w:val="005E5321"/>
    <w:rsid w:val="005E7029"/>
    <w:rsid w:val="005E71F9"/>
    <w:rsid w:val="005E78FA"/>
    <w:rsid w:val="005F0B9A"/>
    <w:rsid w:val="005F29AC"/>
    <w:rsid w:val="005F4B97"/>
    <w:rsid w:val="0060004F"/>
    <w:rsid w:val="006000D3"/>
    <w:rsid w:val="0060107D"/>
    <w:rsid w:val="006024FA"/>
    <w:rsid w:val="00602B84"/>
    <w:rsid w:val="00604A20"/>
    <w:rsid w:val="00606E19"/>
    <w:rsid w:val="00610E88"/>
    <w:rsid w:val="006130BF"/>
    <w:rsid w:val="0061657A"/>
    <w:rsid w:val="006220E6"/>
    <w:rsid w:val="0062754C"/>
    <w:rsid w:val="00630C79"/>
    <w:rsid w:val="00631169"/>
    <w:rsid w:val="006324EF"/>
    <w:rsid w:val="00635353"/>
    <w:rsid w:val="006400C5"/>
    <w:rsid w:val="00650F09"/>
    <w:rsid w:val="00651B65"/>
    <w:rsid w:val="006533C5"/>
    <w:rsid w:val="00654915"/>
    <w:rsid w:val="00655185"/>
    <w:rsid w:val="006555F7"/>
    <w:rsid w:val="00660442"/>
    <w:rsid w:val="00662142"/>
    <w:rsid w:val="00662CAD"/>
    <w:rsid w:val="00670E9A"/>
    <w:rsid w:val="00673E35"/>
    <w:rsid w:val="00675A5C"/>
    <w:rsid w:val="006773EF"/>
    <w:rsid w:val="0068594E"/>
    <w:rsid w:val="006912F4"/>
    <w:rsid w:val="00691A88"/>
    <w:rsid w:val="0069216F"/>
    <w:rsid w:val="00694D4D"/>
    <w:rsid w:val="0069528D"/>
    <w:rsid w:val="0069631F"/>
    <w:rsid w:val="006A6C24"/>
    <w:rsid w:val="006B074B"/>
    <w:rsid w:val="006B0EC0"/>
    <w:rsid w:val="006B23D7"/>
    <w:rsid w:val="006C141D"/>
    <w:rsid w:val="006C2224"/>
    <w:rsid w:val="006C34B6"/>
    <w:rsid w:val="006C7624"/>
    <w:rsid w:val="006D01AE"/>
    <w:rsid w:val="006D04C6"/>
    <w:rsid w:val="006D16F8"/>
    <w:rsid w:val="006D1CCE"/>
    <w:rsid w:val="006D2EE3"/>
    <w:rsid w:val="006D421B"/>
    <w:rsid w:val="006D6950"/>
    <w:rsid w:val="006D7515"/>
    <w:rsid w:val="006E13DC"/>
    <w:rsid w:val="006E1692"/>
    <w:rsid w:val="006E1818"/>
    <w:rsid w:val="006F3B06"/>
    <w:rsid w:val="00700A7E"/>
    <w:rsid w:val="0070624A"/>
    <w:rsid w:val="00710DB8"/>
    <w:rsid w:val="00711C08"/>
    <w:rsid w:val="00711D80"/>
    <w:rsid w:val="00713519"/>
    <w:rsid w:val="00720E34"/>
    <w:rsid w:val="007231ED"/>
    <w:rsid w:val="007269D7"/>
    <w:rsid w:val="0073017F"/>
    <w:rsid w:val="00730393"/>
    <w:rsid w:val="00731941"/>
    <w:rsid w:val="0073445A"/>
    <w:rsid w:val="00735E94"/>
    <w:rsid w:val="00737E95"/>
    <w:rsid w:val="00743B76"/>
    <w:rsid w:val="0075089C"/>
    <w:rsid w:val="007546A8"/>
    <w:rsid w:val="00755BDB"/>
    <w:rsid w:val="0075751D"/>
    <w:rsid w:val="0075783E"/>
    <w:rsid w:val="00763916"/>
    <w:rsid w:val="00763FA4"/>
    <w:rsid w:val="00764231"/>
    <w:rsid w:val="007678C7"/>
    <w:rsid w:val="00772218"/>
    <w:rsid w:val="00782947"/>
    <w:rsid w:val="00783053"/>
    <w:rsid w:val="00783E2F"/>
    <w:rsid w:val="00785CB9"/>
    <w:rsid w:val="007863B1"/>
    <w:rsid w:val="007875BC"/>
    <w:rsid w:val="00794D9A"/>
    <w:rsid w:val="007975D7"/>
    <w:rsid w:val="007A1F4C"/>
    <w:rsid w:val="007A3DB2"/>
    <w:rsid w:val="007A3FB2"/>
    <w:rsid w:val="007A41A3"/>
    <w:rsid w:val="007A55F4"/>
    <w:rsid w:val="007A5CD2"/>
    <w:rsid w:val="007A6322"/>
    <w:rsid w:val="007A64B8"/>
    <w:rsid w:val="007A7750"/>
    <w:rsid w:val="007A7C0B"/>
    <w:rsid w:val="007B22C2"/>
    <w:rsid w:val="007B2765"/>
    <w:rsid w:val="007B6F6A"/>
    <w:rsid w:val="007C09B1"/>
    <w:rsid w:val="007C2A99"/>
    <w:rsid w:val="007C7B5A"/>
    <w:rsid w:val="007D2D5B"/>
    <w:rsid w:val="007D2F53"/>
    <w:rsid w:val="007D4726"/>
    <w:rsid w:val="007E54BC"/>
    <w:rsid w:val="007E626A"/>
    <w:rsid w:val="007E7BE9"/>
    <w:rsid w:val="007F2125"/>
    <w:rsid w:val="007F27C1"/>
    <w:rsid w:val="007F4857"/>
    <w:rsid w:val="007F5D86"/>
    <w:rsid w:val="007F65AF"/>
    <w:rsid w:val="007F7907"/>
    <w:rsid w:val="008005CA"/>
    <w:rsid w:val="00802C9E"/>
    <w:rsid w:val="00803FDF"/>
    <w:rsid w:val="00805AB8"/>
    <w:rsid w:val="008066CF"/>
    <w:rsid w:val="00806D44"/>
    <w:rsid w:val="00811A80"/>
    <w:rsid w:val="008146BC"/>
    <w:rsid w:val="00815DFD"/>
    <w:rsid w:val="00816051"/>
    <w:rsid w:val="00816761"/>
    <w:rsid w:val="00816EDB"/>
    <w:rsid w:val="00817742"/>
    <w:rsid w:val="00820ECF"/>
    <w:rsid w:val="008237B9"/>
    <w:rsid w:val="008301D0"/>
    <w:rsid w:val="00831D44"/>
    <w:rsid w:val="008348FC"/>
    <w:rsid w:val="00837947"/>
    <w:rsid w:val="008409C1"/>
    <w:rsid w:val="00842591"/>
    <w:rsid w:val="00842645"/>
    <w:rsid w:val="008428DF"/>
    <w:rsid w:val="008431A0"/>
    <w:rsid w:val="00843E75"/>
    <w:rsid w:val="00844261"/>
    <w:rsid w:val="00846787"/>
    <w:rsid w:val="00851483"/>
    <w:rsid w:val="0085155C"/>
    <w:rsid w:val="00852B5E"/>
    <w:rsid w:val="008536A8"/>
    <w:rsid w:val="00854608"/>
    <w:rsid w:val="008577D1"/>
    <w:rsid w:val="00860DF9"/>
    <w:rsid w:val="00862A9A"/>
    <w:rsid w:val="00862E94"/>
    <w:rsid w:val="00865D3A"/>
    <w:rsid w:val="008679F7"/>
    <w:rsid w:val="00867D3F"/>
    <w:rsid w:val="008804EA"/>
    <w:rsid w:val="00881EA2"/>
    <w:rsid w:val="008874D0"/>
    <w:rsid w:val="00892382"/>
    <w:rsid w:val="0089264F"/>
    <w:rsid w:val="0089360A"/>
    <w:rsid w:val="008976A8"/>
    <w:rsid w:val="008977CA"/>
    <w:rsid w:val="008A0B0F"/>
    <w:rsid w:val="008A137A"/>
    <w:rsid w:val="008A2735"/>
    <w:rsid w:val="008A330C"/>
    <w:rsid w:val="008A3B3E"/>
    <w:rsid w:val="008A3D16"/>
    <w:rsid w:val="008A42A3"/>
    <w:rsid w:val="008A4915"/>
    <w:rsid w:val="008A590F"/>
    <w:rsid w:val="008A5ED7"/>
    <w:rsid w:val="008A67C5"/>
    <w:rsid w:val="008A6966"/>
    <w:rsid w:val="008A6A7B"/>
    <w:rsid w:val="008A7FCA"/>
    <w:rsid w:val="008B12B6"/>
    <w:rsid w:val="008B32B2"/>
    <w:rsid w:val="008B5750"/>
    <w:rsid w:val="008B7592"/>
    <w:rsid w:val="008C6EB1"/>
    <w:rsid w:val="008D19D8"/>
    <w:rsid w:val="008D2861"/>
    <w:rsid w:val="008D36D6"/>
    <w:rsid w:val="008D5104"/>
    <w:rsid w:val="008D567A"/>
    <w:rsid w:val="008D5EFB"/>
    <w:rsid w:val="008D73AD"/>
    <w:rsid w:val="008E0930"/>
    <w:rsid w:val="008E0CC2"/>
    <w:rsid w:val="008E19CA"/>
    <w:rsid w:val="008E3E43"/>
    <w:rsid w:val="008E442F"/>
    <w:rsid w:val="008E5C38"/>
    <w:rsid w:val="008E7B35"/>
    <w:rsid w:val="008E7B54"/>
    <w:rsid w:val="008F1628"/>
    <w:rsid w:val="008F4C28"/>
    <w:rsid w:val="008F52EB"/>
    <w:rsid w:val="00900402"/>
    <w:rsid w:val="00901DC2"/>
    <w:rsid w:val="00901F71"/>
    <w:rsid w:val="009057D2"/>
    <w:rsid w:val="009101DE"/>
    <w:rsid w:val="009106C4"/>
    <w:rsid w:val="0091100A"/>
    <w:rsid w:val="0091247A"/>
    <w:rsid w:val="00914273"/>
    <w:rsid w:val="0091561B"/>
    <w:rsid w:val="00920CC8"/>
    <w:rsid w:val="00924FE5"/>
    <w:rsid w:val="0092526C"/>
    <w:rsid w:val="009266F7"/>
    <w:rsid w:val="00930CFB"/>
    <w:rsid w:val="00943FB2"/>
    <w:rsid w:val="009477C0"/>
    <w:rsid w:val="00952934"/>
    <w:rsid w:val="00960B13"/>
    <w:rsid w:val="009612B0"/>
    <w:rsid w:val="00962160"/>
    <w:rsid w:val="009626A3"/>
    <w:rsid w:val="009638A2"/>
    <w:rsid w:val="00963E2D"/>
    <w:rsid w:val="009658BA"/>
    <w:rsid w:val="00966261"/>
    <w:rsid w:val="00967B2A"/>
    <w:rsid w:val="00967E4B"/>
    <w:rsid w:val="00967E76"/>
    <w:rsid w:val="00972A27"/>
    <w:rsid w:val="00976B12"/>
    <w:rsid w:val="00977A6D"/>
    <w:rsid w:val="00981280"/>
    <w:rsid w:val="00982019"/>
    <w:rsid w:val="00982929"/>
    <w:rsid w:val="00982CD2"/>
    <w:rsid w:val="00983AD1"/>
    <w:rsid w:val="00983CA9"/>
    <w:rsid w:val="00983F62"/>
    <w:rsid w:val="00985BF1"/>
    <w:rsid w:val="0099081D"/>
    <w:rsid w:val="009942A9"/>
    <w:rsid w:val="00995D8A"/>
    <w:rsid w:val="00995D8F"/>
    <w:rsid w:val="009A09D3"/>
    <w:rsid w:val="009A3A53"/>
    <w:rsid w:val="009B0278"/>
    <w:rsid w:val="009B38FC"/>
    <w:rsid w:val="009B6031"/>
    <w:rsid w:val="009C2359"/>
    <w:rsid w:val="009C256F"/>
    <w:rsid w:val="009C3ADE"/>
    <w:rsid w:val="009C53BB"/>
    <w:rsid w:val="009C5F28"/>
    <w:rsid w:val="009C7A3A"/>
    <w:rsid w:val="009D3A2B"/>
    <w:rsid w:val="009D62DF"/>
    <w:rsid w:val="009E085A"/>
    <w:rsid w:val="009E0A1F"/>
    <w:rsid w:val="009E1237"/>
    <w:rsid w:val="009E3B8C"/>
    <w:rsid w:val="009E597C"/>
    <w:rsid w:val="009E5F70"/>
    <w:rsid w:val="009F0B74"/>
    <w:rsid w:val="009F15AC"/>
    <w:rsid w:val="009F42CC"/>
    <w:rsid w:val="009F7326"/>
    <w:rsid w:val="00A02106"/>
    <w:rsid w:val="00A04A40"/>
    <w:rsid w:val="00A05D2C"/>
    <w:rsid w:val="00A07A33"/>
    <w:rsid w:val="00A12EE6"/>
    <w:rsid w:val="00A16956"/>
    <w:rsid w:val="00A16D2D"/>
    <w:rsid w:val="00A20494"/>
    <w:rsid w:val="00A21853"/>
    <w:rsid w:val="00A25704"/>
    <w:rsid w:val="00A333EE"/>
    <w:rsid w:val="00A3371B"/>
    <w:rsid w:val="00A35DFE"/>
    <w:rsid w:val="00A3647A"/>
    <w:rsid w:val="00A4206A"/>
    <w:rsid w:val="00A43154"/>
    <w:rsid w:val="00A44B5B"/>
    <w:rsid w:val="00A541F2"/>
    <w:rsid w:val="00A546C4"/>
    <w:rsid w:val="00A5602E"/>
    <w:rsid w:val="00A572FB"/>
    <w:rsid w:val="00A60EB4"/>
    <w:rsid w:val="00A659D7"/>
    <w:rsid w:val="00A6794D"/>
    <w:rsid w:val="00A76C71"/>
    <w:rsid w:val="00A77007"/>
    <w:rsid w:val="00A81573"/>
    <w:rsid w:val="00A81E1C"/>
    <w:rsid w:val="00A83339"/>
    <w:rsid w:val="00A84EEB"/>
    <w:rsid w:val="00A855AB"/>
    <w:rsid w:val="00A859D1"/>
    <w:rsid w:val="00A87AD2"/>
    <w:rsid w:val="00A87BE7"/>
    <w:rsid w:val="00A901C0"/>
    <w:rsid w:val="00A90B49"/>
    <w:rsid w:val="00AA1619"/>
    <w:rsid w:val="00AA22CF"/>
    <w:rsid w:val="00AA54D4"/>
    <w:rsid w:val="00AA6217"/>
    <w:rsid w:val="00AA7563"/>
    <w:rsid w:val="00AB40F4"/>
    <w:rsid w:val="00AB455D"/>
    <w:rsid w:val="00AB487F"/>
    <w:rsid w:val="00AB5C21"/>
    <w:rsid w:val="00AB6D08"/>
    <w:rsid w:val="00AC1B17"/>
    <w:rsid w:val="00AC1C60"/>
    <w:rsid w:val="00AC2416"/>
    <w:rsid w:val="00AC362A"/>
    <w:rsid w:val="00AC3E55"/>
    <w:rsid w:val="00AD0003"/>
    <w:rsid w:val="00AD187D"/>
    <w:rsid w:val="00AD2DC5"/>
    <w:rsid w:val="00AE49C3"/>
    <w:rsid w:val="00AF1174"/>
    <w:rsid w:val="00AF3BE4"/>
    <w:rsid w:val="00AF4D79"/>
    <w:rsid w:val="00AF6180"/>
    <w:rsid w:val="00AF6558"/>
    <w:rsid w:val="00AF6919"/>
    <w:rsid w:val="00B00177"/>
    <w:rsid w:val="00B001BC"/>
    <w:rsid w:val="00B02F30"/>
    <w:rsid w:val="00B118F4"/>
    <w:rsid w:val="00B130C5"/>
    <w:rsid w:val="00B135A3"/>
    <w:rsid w:val="00B20223"/>
    <w:rsid w:val="00B21E0C"/>
    <w:rsid w:val="00B22541"/>
    <w:rsid w:val="00B2293F"/>
    <w:rsid w:val="00B22BDB"/>
    <w:rsid w:val="00B35006"/>
    <w:rsid w:val="00B40460"/>
    <w:rsid w:val="00B41884"/>
    <w:rsid w:val="00B428F4"/>
    <w:rsid w:val="00B46A5D"/>
    <w:rsid w:val="00B51194"/>
    <w:rsid w:val="00B53932"/>
    <w:rsid w:val="00B562D3"/>
    <w:rsid w:val="00B60363"/>
    <w:rsid w:val="00B63152"/>
    <w:rsid w:val="00B632FD"/>
    <w:rsid w:val="00B64B14"/>
    <w:rsid w:val="00B65AB2"/>
    <w:rsid w:val="00B66469"/>
    <w:rsid w:val="00B6648C"/>
    <w:rsid w:val="00B676C7"/>
    <w:rsid w:val="00B679B8"/>
    <w:rsid w:val="00B701BC"/>
    <w:rsid w:val="00B72AB8"/>
    <w:rsid w:val="00B72D9C"/>
    <w:rsid w:val="00B75DDE"/>
    <w:rsid w:val="00B76571"/>
    <w:rsid w:val="00B80927"/>
    <w:rsid w:val="00B824AA"/>
    <w:rsid w:val="00B82A8E"/>
    <w:rsid w:val="00B8530B"/>
    <w:rsid w:val="00B864E2"/>
    <w:rsid w:val="00B90747"/>
    <w:rsid w:val="00B91151"/>
    <w:rsid w:val="00BA7080"/>
    <w:rsid w:val="00BA7724"/>
    <w:rsid w:val="00BB2BCE"/>
    <w:rsid w:val="00BB6CDD"/>
    <w:rsid w:val="00BB72DA"/>
    <w:rsid w:val="00BB7A95"/>
    <w:rsid w:val="00BC14EA"/>
    <w:rsid w:val="00BC206D"/>
    <w:rsid w:val="00BC6624"/>
    <w:rsid w:val="00BC67B7"/>
    <w:rsid w:val="00BD02F0"/>
    <w:rsid w:val="00BD1348"/>
    <w:rsid w:val="00BD33D8"/>
    <w:rsid w:val="00BD4A24"/>
    <w:rsid w:val="00BD526C"/>
    <w:rsid w:val="00BE255F"/>
    <w:rsid w:val="00BE25EB"/>
    <w:rsid w:val="00BE3AE9"/>
    <w:rsid w:val="00BE3BB6"/>
    <w:rsid w:val="00BE6160"/>
    <w:rsid w:val="00BF056D"/>
    <w:rsid w:val="00BF1F9B"/>
    <w:rsid w:val="00BF6BF2"/>
    <w:rsid w:val="00BF7D57"/>
    <w:rsid w:val="00C0015C"/>
    <w:rsid w:val="00C02037"/>
    <w:rsid w:val="00C026DC"/>
    <w:rsid w:val="00C03BC5"/>
    <w:rsid w:val="00C03BF1"/>
    <w:rsid w:val="00C07423"/>
    <w:rsid w:val="00C11FBE"/>
    <w:rsid w:val="00C124DE"/>
    <w:rsid w:val="00C1271A"/>
    <w:rsid w:val="00C13D8C"/>
    <w:rsid w:val="00C17BEA"/>
    <w:rsid w:val="00C17FA5"/>
    <w:rsid w:val="00C20F66"/>
    <w:rsid w:val="00C215FB"/>
    <w:rsid w:val="00C2297F"/>
    <w:rsid w:val="00C246FA"/>
    <w:rsid w:val="00C2585A"/>
    <w:rsid w:val="00C258A9"/>
    <w:rsid w:val="00C266D8"/>
    <w:rsid w:val="00C2753E"/>
    <w:rsid w:val="00C300E1"/>
    <w:rsid w:val="00C31DC9"/>
    <w:rsid w:val="00C33E7F"/>
    <w:rsid w:val="00C37422"/>
    <w:rsid w:val="00C4038A"/>
    <w:rsid w:val="00C41FEA"/>
    <w:rsid w:val="00C42AFA"/>
    <w:rsid w:val="00C46F5C"/>
    <w:rsid w:val="00C506D0"/>
    <w:rsid w:val="00C511A5"/>
    <w:rsid w:val="00C55862"/>
    <w:rsid w:val="00C55B35"/>
    <w:rsid w:val="00C57DC1"/>
    <w:rsid w:val="00C60978"/>
    <w:rsid w:val="00C61463"/>
    <w:rsid w:val="00C6397D"/>
    <w:rsid w:val="00C63AF1"/>
    <w:rsid w:val="00C6417F"/>
    <w:rsid w:val="00C64EF5"/>
    <w:rsid w:val="00C71A32"/>
    <w:rsid w:val="00C71B7F"/>
    <w:rsid w:val="00C74B5A"/>
    <w:rsid w:val="00C74D8F"/>
    <w:rsid w:val="00C74E8C"/>
    <w:rsid w:val="00C75263"/>
    <w:rsid w:val="00C7774B"/>
    <w:rsid w:val="00C8071D"/>
    <w:rsid w:val="00C8234D"/>
    <w:rsid w:val="00C826AF"/>
    <w:rsid w:val="00C85533"/>
    <w:rsid w:val="00C910C5"/>
    <w:rsid w:val="00C91DEA"/>
    <w:rsid w:val="00C92099"/>
    <w:rsid w:val="00CA3D53"/>
    <w:rsid w:val="00CA4192"/>
    <w:rsid w:val="00CA5522"/>
    <w:rsid w:val="00CA606B"/>
    <w:rsid w:val="00CA7CE4"/>
    <w:rsid w:val="00CB4744"/>
    <w:rsid w:val="00CB6F88"/>
    <w:rsid w:val="00CC1516"/>
    <w:rsid w:val="00CC2637"/>
    <w:rsid w:val="00CC2853"/>
    <w:rsid w:val="00CC34EE"/>
    <w:rsid w:val="00CC79CD"/>
    <w:rsid w:val="00CD428C"/>
    <w:rsid w:val="00CD4622"/>
    <w:rsid w:val="00CE369C"/>
    <w:rsid w:val="00CE37B7"/>
    <w:rsid w:val="00CE449E"/>
    <w:rsid w:val="00CE5010"/>
    <w:rsid w:val="00CE59FD"/>
    <w:rsid w:val="00CE6B80"/>
    <w:rsid w:val="00CF0E07"/>
    <w:rsid w:val="00CF30EA"/>
    <w:rsid w:val="00CF4448"/>
    <w:rsid w:val="00CF7BCC"/>
    <w:rsid w:val="00D02AE9"/>
    <w:rsid w:val="00D06594"/>
    <w:rsid w:val="00D13F19"/>
    <w:rsid w:val="00D14CB0"/>
    <w:rsid w:val="00D1600C"/>
    <w:rsid w:val="00D24523"/>
    <w:rsid w:val="00D26CBA"/>
    <w:rsid w:val="00D27D31"/>
    <w:rsid w:val="00D30C1B"/>
    <w:rsid w:val="00D334F3"/>
    <w:rsid w:val="00D3435A"/>
    <w:rsid w:val="00D36679"/>
    <w:rsid w:val="00D36EF3"/>
    <w:rsid w:val="00D4301F"/>
    <w:rsid w:val="00D4691D"/>
    <w:rsid w:val="00D52E56"/>
    <w:rsid w:val="00D53E20"/>
    <w:rsid w:val="00D540B4"/>
    <w:rsid w:val="00D56D1B"/>
    <w:rsid w:val="00D570D9"/>
    <w:rsid w:val="00D5758D"/>
    <w:rsid w:val="00D61F5F"/>
    <w:rsid w:val="00D637FE"/>
    <w:rsid w:val="00D63D39"/>
    <w:rsid w:val="00D64D0A"/>
    <w:rsid w:val="00D66B44"/>
    <w:rsid w:val="00D673C3"/>
    <w:rsid w:val="00D67755"/>
    <w:rsid w:val="00D73347"/>
    <w:rsid w:val="00D73D3A"/>
    <w:rsid w:val="00D75AE0"/>
    <w:rsid w:val="00D769CA"/>
    <w:rsid w:val="00D77647"/>
    <w:rsid w:val="00D80894"/>
    <w:rsid w:val="00D841B8"/>
    <w:rsid w:val="00D84507"/>
    <w:rsid w:val="00D851C5"/>
    <w:rsid w:val="00D86CEB"/>
    <w:rsid w:val="00D90900"/>
    <w:rsid w:val="00D929A1"/>
    <w:rsid w:val="00DA0E77"/>
    <w:rsid w:val="00DA181F"/>
    <w:rsid w:val="00DA1FF0"/>
    <w:rsid w:val="00DA4032"/>
    <w:rsid w:val="00DA5079"/>
    <w:rsid w:val="00DB1D0F"/>
    <w:rsid w:val="00DB71D9"/>
    <w:rsid w:val="00DC2EA4"/>
    <w:rsid w:val="00DC4402"/>
    <w:rsid w:val="00DC467E"/>
    <w:rsid w:val="00DC5C8D"/>
    <w:rsid w:val="00DC5D8F"/>
    <w:rsid w:val="00DC696D"/>
    <w:rsid w:val="00DC7E19"/>
    <w:rsid w:val="00DD0414"/>
    <w:rsid w:val="00DD0EA1"/>
    <w:rsid w:val="00DD1854"/>
    <w:rsid w:val="00DD44D2"/>
    <w:rsid w:val="00DD4519"/>
    <w:rsid w:val="00DD454C"/>
    <w:rsid w:val="00DD4A07"/>
    <w:rsid w:val="00DD56E4"/>
    <w:rsid w:val="00DD7EB8"/>
    <w:rsid w:val="00DE03F5"/>
    <w:rsid w:val="00DE3A1C"/>
    <w:rsid w:val="00DE5FAC"/>
    <w:rsid w:val="00DE705E"/>
    <w:rsid w:val="00DE753C"/>
    <w:rsid w:val="00DF059F"/>
    <w:rsid w:val="00DF086F"/>
    <w:rsid w:val="00DF2152"/>
    <w:rsid w:val="00E000F8"/>
    <w:rsid w:val="00E006EC"/>
    <w:rsid w:val="00E00741"/>
    <w:rsid w:val="00E0125B"/>
    <w:rsid w:val="00E033AA"/>
    <w:rsid w:val="00E0565C"/>
    <w:rsid w:val="00E06631"/>
    <w:rsid w:val="00E101F4"/>
    <w:rsid w:val="00E11EBC"/>
    <w:rsid w:val="00E1566D"/>
    <w:rsid w:val="00E15D89"/>
    <w:rsid w:val="00E16660"/>
    <w:rsid w:val="00E16F62"/>
    <w:rsid w:val="00E24D1B"/>
    <w:rsid w:val="00E24F0B"/>
    <w:rsid w:val="00E318F3"/>
    <w:rsid w:val="00E3203E"/>
    <w:rsid w:val="00E32ED2"/>
    <w:rsid w:val="00E32F32"/>
    <w:rsid w:val="00E33B3B"/>
    <w:rsid w:val="00E346DF"/>
    <w:rsid w:val="00E3531C"/>
    <w:rsid w:val="00E37DCE"/>
    <w:rsid w:val="00E42AA5"/>
    <w:rsid w:val="00E44289"/>
    <w:rsid w:val="00E444B2"/>
    <w:rsid w:val="00E44B01"/>
    <w:rsid w:val="00E45481"/>
    <w:rsid w:val="00E454B9"/>
    <w:rsid w:val="00E4573D"/>
    <w:rsid w:val="00E504DF"/>
    <w:rsid w:val="00E511DE"/>
    <w:rsid w:val="00E51B0E"/>
    <w:rsid w:val="00E53330"/>
    <w:rsid w:val="00E55CAB"/>
    <w:rsid w:val="00E574E8"/>
    <w:rsid w:val="00E57F54"/>
    <w:rsid w:val="00E634C7"/>
    <w:rsid w:val="00E6385C"/>
    <w:rsid w:val="00E66AA7"/>
    <w:rsid w:val="00E71699"/>
    <w:rsid w:val="00E74C11"/>
    <w:rsid w:val="00E75FDB"/>
    <w:rsid w:val="00E769F7"/>
    <w:rsid w:val="00E76FF8"/>
    <w:rsid w:val="00E82EC6"/>
    <w:rsid w:val="00E84618"/>
    <w:rsid w:val="00E85BA3"/>
    <w:rsid w:val="00E85F75"/>
    <w:rsid w:val="00E87B00"/>
    <w:rsid w:val="00E93A15"/>
    <w:rsid w:val="00E96BE0"/>
    <w:rsid w:val="00EA6720"/>
    <w:rsid w:val="00EA7A2B"/>
    <w:rsid w:val="00EB201F"/>
    <w:rsid w:val="00EB4506"/>
    <w:rsid w:val="00EB4F08"/>
    <w:rsid w:val="00EC549B"/>
    <w:rsid w:val="00EC5543"/>
    <w:rsid w:val="00EC6C11"/>
    <w:rsid w:val="00EC753B"/>
    <w:rsid w:val="00EC7F9C"/>
    <w:rsid w:val="00ED2A62"/>
    <w:rsid w:val="00EE148B"/>
    <w:rsid w:val="00EE19B8"/>
    <w:rsid w:val="00EE774F"/>
    <w:rsid w:val="00EE79A3"/>
    <w:rsid w:val="00EF1848"/>
    <w:rsid w:val="00EF4218"/>
    <w:rsid w:val="00EF5634"/>
    <w:rsid w:val="00F00F69"/>
    <w:rsid w:val="00F01A16"/>
    <w:rsid w:val="00F036B7"/>
    <w:rsid w:val="00F0538C"/>
    <w:rsid w:val="00F07382"/>
    <w:rsid w:val="00F16D46"/>
    <w:rsid w:val="00F17810"/>
    <w:rsid w:val="00F20AD4"/>
    <w:rsid w:val="00F20B8A"/>
    <w:rsid w:val="00F24ECE"/>
    <w:rsid w:val="00F31931"/>
    <w:rsid w:val="00F31D47"/>
    <w:rsid w:val="00F324C3"/>
    <w:rsid w:val="00F331AA"/>
    <w:rsid w:val="00F37579"/>
    <w:rsid w:val="00F40002"/>
    <w:rsid w:val="00F415D1"/>
    <w:rsid w:val="00F42BDC"/>
    <w:rsid w:val="00F4395E"/>
    <w:rsid w:val="00F43E9A"/>
    <w:rsid w:val="00F44EA5"/>
    <w:rsid w:val="00F4644E"/>
    <w:rsid w:val="00F51949"/>
    <w:rsid w:val="00F611A5"/>
    <w:rsid w:val="00F614DA"/>
    <w:rsid w:val="00F6219C"/>
    <w:rsid w:val="00F644EB"/>
    <w:rsid w:val="00F666CF"/>
    <w:rsid w:val="00F73AEE"/>
    <w:rsid w:val="00F74578"/>
    <w:rsid w:val="00F750E0"/>
    <w:rsid w:val="00F76AEA"/>
    <w:rsid w:val="00F80C3C"/>
    <w:rsid w:val="00F819F0"/>
    <w:rsid w:val="00F845E2"/>
    <w:rsid w:val="00F935EF"/>
    <w:rsid w:val="00F955F6"/>
    <w:rsid w:val="00F96360"/>
    <w:rsid w:val="00F96531"/>
    <w:rsid w:val="00FA3492"/>
    <w:rsid w:val="00FA4F05"/>
    <w:rsid w:val="00FB0CE0"/>
    <w:rsid w:val="00FC1631"/>
    <w:rsid w:val="00FC27D5"/>
    <w:rsid w:val="00FC3CD9"/>
    <w:rsid w:val="00FC5F6F"/>
    <w:rsid w:val="00FC6AC0"/>
    <w:rsid w:val="00FD0339"/>
    <w:rsid w:val="00FD3CB0"/>
    <w:rsid w:val="00FD46E6"/>
    <w:rsid w:val="00FD69E4"/>
    <w:rsid w:val="00FD710A"/>
    <w:rsid w:val="00FE1953"/>
    <w:rsid w:val="00FE1E0C"/>
    <w:rsid w:val="00FE3A15"/>
    <w:rsid w:val="00FE4473"/>
    <w:rsid w:val="00FE45F6"/>
    <w:rsid w:val="00FE5449"/>
    <w:rsid w:val="00FE5451"/>
    <w:rsid w:val="00FE62B6"/>
    <w:rsid w:val="00FE6708"/>
    <w:rsid w:val="00FF3C25"/>
    <w:rsid w:val="00FF44FF"/>
    <w:rsid w:val="00FF4C43"/>
    <w:rsid w:val="00FF59BA"/>
    <w:rsid w:val="00FF5C07"/>
    <w:rsid w:val="00FF6BB8"/>
    <w:rsid w:val="00FF7923"/>
    <w:rsid w:val="00FF7B36"/>
    <w:rsid w:val="0108011E"/>
    <w:rsid w:val="018E0F0D"/>
    <w:rsid w:val="01B8007A"/>
    <w:rsid w:val="01BA70C0"/>
    <w:rsid w:val="020E4FE9"/>
    <w:rsid w:val="02380D1B"/>
    <w:rsid w:val="02615D90"/>
    <w:rsid w:val="02883528"/>
    <w:rsid w:val="029B355A"/>
    <w:rsid w:val="02AE7397"/>
    <w:rsid w:val="030A403F"/>
    <w:rsid w:val="03564C06"/>
    <w:rsid w:val="03835947"/>
    <w:rsid w:val="039362E2"/>
    <w:rsid w:val="04455AD9"/>
    <w:rsid w:val="04981C21"/>
    <w:rsid w:val="05E11832"/>
    <w:rsid w:val="06265B33"/>
    <w:rsid w:val="064601C3"/>
    <w:rsid w:val="07927288"/>
    <w:rsid w:val="079D29DA"/>
    <w:rsid w:val="08765A38"/>
    <w:rsid w:val="08C52E92"/>
    <w:rsid w:val="08E86159"/>
    <w:rsid w:val="091010EE"/>
    <w:rsid w:val="094B16FD"/>
    <w:rsid w:val="09B90AFC"/>
    <w:rsid w:val="09BA08CF"/>
    <w:rsid w:val="09CE2575"/>
    <w:rsid w:val="09F70EE1"/>
    <w:rsid w:val="0A316864"/>
    <w:rsid w:val="0B436DD9"/>
    <w:rsid w:val="0B5D4570"/>
    <w:rsid w:val="0B6834BD"/>
    <w:rsid w:val="0C106480"/>
    <w:rsid w:val="0CE916F8"/>
    <w:rsid w:val="0D007B22"/>
    <w:rsid w:val="0D1644B7"/>
    <w:rsid w:val="0D2C4054"/>
    <w:rsid w:val="0D8454D7"/>
    <w:rsid w:val="0DBA3164"/>
    <w:rsid w:val="0E350BE6"/>
    <w:rsid w:val="0E6F41E3"/>
    <w:rsid w:val="0EE23DE3"/>
    <w:rsid w:val="0F357CD1"/>
    <w:rsid w:val="0F857943"/>
    <w:rsid w:val="103E65A7"/>
    <w:rsid w:val="10D83A25"/>
    <w:rsid w:val="10FC0E3C"/>
    <w:rsid w:val="1177136E"/>
    <w:rsid w:val="12352A26"/>
    <w:rsid w:val="12DC74E9"/>
    <w:rsid w:val="13394694"/>
    <w:rsid w:val="139F7F98"/>
    <w:rsid w:val="14055187"/>
    <w:rsid w:val="149B18DB"/>
    <w:rsid w:val="14C43CA5"/>
    <w:rsid w:val="156264EB"/>
    <w:rsid w:val="15901FB5"/>
    <w:rsid w:val="15B96009"/>
    <w:rsid w:val="163B7849"/>
    <w:rsid w:val="16501880"/>
    <w:rsid w:val="167300B5"/>
    <w:rsid w:val="168856F6"/>
    <w:rsid w:val="16AD459B"/>
    <w:rsid w:val="178E10D9"/>
    <w:rsid w:val="17B67586"/>
    <w:rsid w:val="17E0319C"/>
    <w:rsid w:val="180E2F88"/>
    <w:rsid w:val="18341D85"/>
    <w:rsid w:val="188B5D7C"/>
    <w:rsid w:val="197A757F"/>
    <w:rsid w:val="19B6268B"/>
    <w:rsid w:val="1A3B0380"/>
    <w:rsid w:val="1A3B6AE0"/>
    <w:rsid w:val="1A63096F"/>
    <w:rsid w:val="1A862994"/>
    <w:rsid w:val="1AB47FAD"/>
    <w:rsid w:val="1B876E3B"/>
    <w:rsid w:val="1BA50193"/>
    <w:rsid w:val="1C061A63"/>
    <w:rsid w:val="1C0A3DA3"/>
    <w:rsid w:val="1C322F51"/>
    <w:rsid w:val="1C43309A"/>
    <w:rsid w:val="1C4C5CF9"/>
    <w:rsid w:val="1C62222F"/>
    <w:rsid w:val="1C6B65AE"/>
    <w:rsid w:val="1C845ABF"/>
    <w:rsid w:val="1C976EAA"/>
    <w:rsid w:val="1CCC5805"/>
    <w:rsid w:val="1CD25B52"/>
    <w:rsid w:val="1D81111E"/>
    <w:rsid w:val="1D985411"/>
    <w:rsid w:val="1E185370"/>
    <w:rsid w:val="1E8B2D66"/>
    <w:rsid w:val="1E905351"/>
    <w:rsid w:val="1EAA7BC0"/>
    <w:rsid w:val="1EC95BBE"/>
    <w:rsid w:val="1FAA740D"/>
    <w:rsid w:val="2041079C"/>
    <w:rsid w:val="20474F8C"/>
    <w:rsid w:val="20592BE1"/>
    <w:rsid w:val="206A26F8"/>
    <w:rsid w:val="211A5ECC"/>
    <w:rsid w:val="217A1EA3"/>
    <w:rsid w:val="22194196"/>
    <w:rsid w:val="22633A58"/>
    <w:rsid w:val="226E5186"/>
    <w:rsid w:val="22E569AE"/>
    <w:rsid w:val="245521A5"/>
    <w:rsid w:val="24D26ABE"/>
    <w:rsid w:val="253D1860"/>
    <w:rsid w:val="253D5128"/>
    <w:rsid w:val="254E4AC5"/>
    <w:rsid w:val="25867FD4"/>
    <w:rsid w:val="25D62255"/>
    <w:rsid w:val="26310C97"/>
    <w:rsid w:val="26673090"/>
    <w:rsid w:val="273C650F"/>
    <w:rsid w:val="27D0354B"/>
    <w:rsid w:val="27D50254"/>
    <w:rsid w:val="27DA495C"/>
    <w:rsid w:val="27F7644F"/>
    <w:rsid w:val="27F85646"/>
    <w:rsid w:val="28172A99"/>
    <w:rsid w:val="28242834"/>
    <w:rsid w:val="2859082E"/>
    <w:rsid w:val="286723B1"/>
    <w:rsid w:val="28E55839"/>
    <w:rsid w:val="293B6AC9"/>
    <w:rsid w:val="296A0119"/>
    <w:rsid w:val="29BD1EA6"/>
    <w:rsid w:val="29EA6E27"/>
    <w:rsid w:val="29F04E1C"/>
    <w:rsid w:val="2A9A31AA"/>
    <w:rsid w:val="2B1D22CA"/>
    <w:rsid w:val="2B2F1A3B"/>
    <w:rsid w:val="2BC65DBF"/>
    <w:rsid w:val="2BF4601B"/>
    <w:rsid w:val="2C31690F"/>
    <w:rsid w:val="2C452AB8"/>
    <w:rsid w:val="2CFA5C2E"/>
    <w:rsid w:val="2CFF1140"/>
    <w:rsid w:val="2D3B405A"/>
    <w:rsid w:val="2DE21AD5"/>
    <w:rsid w:val="2DED531B"/>
    <w:rsid w:val="2E1B2C1F"/>
    <w:rsid w:val="2E521B2B"/>
    <w:rsid w:val="2E994BD2"/>
    <w:rsid w:val="2E9A2439"/>
    <w:rsid w:val="2F414F6C"/>
    <w:rsid w:val="2FC87853"/>
    <w:rsid w:val="2FE547A2"/>
    <w:rsid w:val="304E5DCA"/>
    <w:rsid w:val="30717299"/>
    <w:rsid w:val="309548EC"/>
    <w:rsid w:val="30E217E0"/>
    <w:rsid w:val="322A799A"/>
    <w:rsid w:val="32840F7B"/>
    <w:rsid w:val="33071BF5"/>
    <w:rsid w:val="33824246"/>
    <w:rsid w:val="338B1EDE"/>
    <w:rsid w:val="33E12876"/>
    <w:rsid w:val="33E51613"/>
    <w:rsid w:val="33F3337F"/>
    <w:rsid w:val="34353DEA"/>
    <w:rsid w:val="3445632C"/>
    <w:rsid w:val="35642297"/>
    <w:rsid w:val="358D12A7"/>
    <w:rsid w:val="35A87013"/>
    <w:rsid w:val="36200DA1"/>
    <w:rsid w:val="36467086"/>
    <w:rsid w:val="36495C75"/>
    <w:rsid w:val="36A00CDD"/>
    <w:rsid w:val="36AB1706"/>
    <w:rsid w:val="36B41150"/>
    <w:rsid w:val="376764E9"/>
    <w:rsid w:val="37DE228A"/>
    <w:rsid w:val="386D7BF0"/>
    <w:rsid w:val="38E557F9"/>
    <w:rsid w:val="39076505"/>
    <w:rsid w:val="393836B0"/>
    <w:rsid w:val="39841276"/>
    <w:rsid w:val="39B8407C"/>
    <w:rsid w:val="39E51789"/>
    <w:rsid w:val="39F90562"/>
    <w:rsid w:val="3A357CCE"/>
    <w:rsid w:val="3A446BD2"/>
    <w:rsid w:val="3A6257F1"/>
    <w:rsid w:val="3A7640F1"/>
    <w:rsid w:val="3B335A24"/>
    <w:rsid w:val="3B6C15C2"/>
    <w:rsid w:val="3C453E2D"/>
    <w:rsid w:val="3C4D381F"/>
    <w:rsid w:val="3C606833"/>
    <w:rsid w:val="3CF77D3D"/>
    <w:rsid w:val="3D023A80"/>
    <w:rsid w:val="3D18555E"/>
    <w:rsid w:val="3D1F1EC3"/>
    <w:rsid w:val="3DFA7904"/>
    <w:rsid w:val="3E88469D"/>
    <w:rsid w:val="3ECA313A"/>
    <w:rsid w:val="3EEA0DF6"/>
    <w:rsid w:val="3F4D56CE"/>
    <w:rsid w:val="3FC51BF0"/>
    <w:rsid w:val="3FCF2120"/>
    <w:rsid w:val="3FD7696D"/>
    <w:rsid w:val="40132C4B"/>
    <w:rsid w:val="40693487"/>
    <w:rsid w:val="40731583"/>
    <w:rsid w:val="40817A80"/>
    <w:rsid w:val="41D1658C"/>
    <w:rsid w:val="41E031CA"/>
    <w:rsid w:val="41E77E13"/>
    <w:rsid w:val="420D0002"/>
    <w:rsid w:val="42123EA0"/>
    <w:rsid w:val="42D20DC5"/>
    <w:rsid w:val="43043BFE"/>
    <w:rsid w:val="44112D07"/>
    <w:rsid w:val="445A44DA"/>
    <w:rsid w:val="44730FE9"/>
    <w:rsid w:val="44972C88"/>
    <w:rsid w:val="45340F3E"/>
    <w:rsid w:val="45401480"/>
    <w:rsid w:val="45755205"/>
    <w:rsid w:val="45B15F9B"/>
    <w:rsid w:val="45EB14B3"/>
    <w:rsid w:val="47376F28"/>
    <w:rsid w:val="47B72074"/>
    <w:rsid w:val="47D013D3"/>
    <w:rsid w:val="47E4628B"/>
    <w:rsid w:val="47E56ADD"/>
    <w:rsid w:val="47E744AA"/>
    <w:rsid w:val="480B2E76"/>
    <w:rsid w:val="48943F06"/>
    <w:rsid w:val="48BF5CAC"/>
    <w:rsid w:val="48CE2935"/>
    <w:rsid w:val="48CF30D7"/>
    <w:rsid w:val="48D1161B"/>
    <w:rsid w:val="48DF1440"/>
    <w:rsid w:val="49335DE7"/>
    <w:rsid w:val="494476DB"/>
    <w:rsid w:val="49AE531E"/>
    <w:rsid w:val="4A365580"/>
    <w:rsid w:val="4B483D14"/>
    <w:rsid w:val="4B6A1991"/>
    <w:rsid w:val="4BA12BC2"/>
    <w:rsid w:val="4BE156B5"/>
    <w:rsid w:val="4C0861BD"/>
    <w:rsid w:val="4C1C7A82"/>
    <w:rsid w:val="4C2061DD"/>
    <w:rsid w:val="4C4C5F47"/>
    <w:rsid w:val="4CAD6463"/>
    <w:rsid w:val="4CF30EF4"/>
    <w:rsid w:val="4D1A32E3"/>
    <w:rsid w:val="4D9B7398"/>
    <w:rsid w:val="4E555F75"/>
    <w:rsid w:val="4EF30C17"/>
    <w:rsid w:val="4EFD4E2E"/>
    <w:rsid w:val="4F571FF6"/>
    <w:rsid w:val="4F8A1769"/>
    <w:rsid w:val="4FDC47F4"/>
    <w:rsid w:val="50293E67"/>
    <w:rsid w:val="504058D8"/>
    <w:rsid w:val="504A1A7A"/>
    <w:rsid w:val="513B3041"/>
    <w:rsid w:val="51487748"/>
    <w:rsid w:val="519C236E"/>
    <w:rsid w:val="51D952C5"/>
    <w:rsid w:val="51E46421"/>
    <w:rsid w:val="51F00F16"/>
    <w:rsid w:val="5247460D"/>
    <w:rsid w:val="52591559"/>
    <w:rsid w:val="52C65329"/>
    <w:rsid w:val="541F6D7A"/>
    <w:rsid w:val="542271B3"/>
    <w:rsid w:val="54260108"/>
    <w:rsid w:val="542809DD"/>
    <w:rsid w:val="542B3971"/>
    <w:rsid w:val="54563FDF"/>
    <w:rsid w:val="547D3F66"/>
    <w:rsid w:val="549112DC"/>
    <w:rsid w:val="54DE0754"/>
    <w:rsid w:val="55A04FD0"/>
    <w:rsid w:val="566E4163"/>
    <w:rsid w:val="56CF78B2"/>
    <w:rsid w:val="56DA167E"/>
    <w:rsid w:val="56FA471F"/>
    <w:rsid w:val="57164EB8"/>
    <w:rsid w:val="571D1577"/>
    <w:rsid w:val="572F3778"/>
    <w:rsid w:val="57BD66CC"/>
    <w:rsid w:val="58C471A1"/>
    <w:rsid w:val="58FE588D"/>
    <w:rsid w:val="59001634"/>
    <w:rsid w:val="595E39C0"/>
    <w:rsid w:val="5A0332F1"/>
    <w:rsid w:val="5A81253D"/>
    <w:rsid w:val="5AA94FC6"/>
    <w:rsid w:val="5B413A9D"/>
    <w:rsid w:val="5B4A7497"/>
    <w:rsid w:val="5BAA10A3"/>
    <w:rsid w:val="5BF37F38"/>
    <w:rsid w:val="5BF95104"/>
    <w:rsid w:val="5C6C50E0"/>
    <w:rsid w:val="5C777C03"/>
    <w:rsid w:val="5D2229AE"/>
    <w:rsid w:val="5D514BD9"/>
    <w:rsid w:val="5D6750FC"/>
    <w:rsid w:val="5DAD7662"/>
    <w:rsid w:val="5E3268A1"/>
    <w:rsid w:val="5E5C5190"/>
    <w:rsid w:val="5E9D36BD"/>
    <w:rsid w:val="5EC75D70"/>
    <w:rsid w:val="5EE24430"/>
    <w:rsid w:val="5F5024DD"/>
    <w:rsid w:val="5F6854E4"/>
    <w:rsid w:val="5FC51172"/>
    <w:rsid w:val="5FDA015E"/>
    <w:rsid w:val="600D646D"/>
    <w:rsid w:val="602A7AE2"/>
    <w:rsid w:val="61161505"/>
    <w:rsid w:val="61477910"/>
    <w:rsid w:val="61494332"/>
    <w:rsid w:val="61584BBC"/>
    <w:rsid w:val="618C7EF9"/>
    <w:rsid w:val="61A45FF4"/>
    <w:rsid w:val="61CE054F"/>
    <w:rsid w:val="625A6165"/>
    <w:rsid w:val="626F711E"/>
    <w:rsid w:val="62D47EFF"/>
    <w:rsid w:val="62F90A24"/>
    <w:rsid w:val="632D71DD"/>
    <w:rsid w:val="639E415F"/>
    <w:rsid w:val="63FE4BFE"/>
    <w:rsid w:val="64116034"/>
    <w:rsid w:val="641D6BC8"/>
    <w:rsid w:val="647752E6"/>
    <w:rsid w:val="647B7DC7"/>
    <w:rsid w:val="64964583"/>
    <w:rsid w:val="64A86918"/>
    <w:rsid w:val="65534AD5"/>
    <w:rsid w:val="65877EFF"/>
    <w:rsid w:val="659D30BE"/>
    <w:rsid w:val="66553379"/>
    <w:rsid w:val="66D965EE"/>
    <w:rsid w:val="670E4CDF"/>
    <w:rsid w:val="6726786D"/>
    <w:rsid w:val="675A708B"/>
    <w:rsid w:val="676F781B"/>
    <w:rsid w:val="679D5122"/>
    <w:rsid w:val="67C60523"/>
    <w:rsid w:val="67FA2F5F"/>
    <w:rsid w:val="67FE782C"/>
    <w:rsid w:val="68AF3DE6"/>
    <w:rsid w:val="69024226"/>
    <w:rsid w:val="69275314"/>
    <w:rsid w:val="69946732"/>
    <w:rsid w:val="69BF083E"/>
    <w:rsid w:val="69E76403"/>
    <w:rsid w:val="6A5B4523"/>
    <w:rsid w:val="6A822DC9"/>
    <w:rsid w:val="6ACB0E30"/>
    <w:rsid w:val="6AE7606D"/>
    <w:rsid w:val="6B160A26"/>
    <w:rsid w:val="6B323EE6"/>
    <w:rsid w:val="6B397A03"/>
    <w:rsid w:val="6B7F130E"/>
    <w:rsid w:val="6B926B37"/>
    <w:rsid w:val="6C7463A0"/>
    <w:rsid w:val="6C9C3206"/>
    <w:rsid w:val="6D162D88"/>
    <w:rsid w:val="6D342338"/>
    <w:rsid w:val="6E9E77E1"/>
    <w:rsid w:val="6ECD3589"/>
    <w:rsid w:val="6EE67DA9"/>
    <w:rsid w:val="6F020EDB"/>
    <w:rsid w:val="6F067C8E"/>
    <w:rsid w:val="6F316126"/>
    <w:rsid w:val="6F80295C"/>
    <w:rsid w:val="70417A62"/>
    <w:rsid w:val="70466136"/>
    <w:rsid w:val="705F6EBF"/>
    <w:rsid w:val="71A2375B"/>
    <w:rsid w:val="71CF0C18"/>
    <w:rsid w:val="71D8508E"/>
    <w:rsid w:val="71DF08ED"/>
    <w:rsid w:val="72523000"/>
    <w:rsid w:val="72A42E14"/>
    <w:rsid w:val="72AA2230"/>
    <w:rsid w:val="732E07EA"/>
    <w:rsid w:val="739D1B4E"/>
    <w:rsid w:val="73F82B90"/>
    <w:rsid w:val="74060F78"/>
    <w:rsid w:val="743261FE"/>
    <w:rsid w:val="743275B2"/>
    <w:rsid w:val="743950A4"/>
    <w:rsid w:val="74455115"/>
    <w:rsid w:val="74570C42"/>
    <w:rsid w:val="746F5DA3"/>
    <w:rsid w:val="749E66E3"/>
    <w:rsid w:val="74D44992"/>
    <w:rsid w:val="75112E5E"/>
    <w:rsid w:val="752C1E61"/>
    <w:rsid w:val="75443B4A"/>
    <w:rsid w:val="7610464D"/>
    <w:rsid w:val="76643B0D"/>
    <w:rsid w:val="774F6077"/>
    <w:rsid w:val="77534072"/>
    <w:rsid w:val="78321FAF"/>
    <w:rsid w:val="78751A3F"/>
    <w:rsid w:val="789900F0"/>
    <w:rsid w:val="79DB593A"/>
    <w:rsid w:val="7B521EA6"/>
    <w:rsid w:val="7B7F387A"/>
    <w:rsid w:val="7BB55ACD"/>
    <w:rsid w:val="7BE73D72"/>
    <w:rsid w:val="7BFF337A"/>
    <w:rsid w:val="7C491DB5"/>
    <w:rsid w:val="7CA5338B"/>
    <w:rsid w:val="7CB41EA6"/>
    <w:rsid w:val="7E3C7EDB"/>
    <w:rsid w:val="7E3D38E2"/>
    <w:rsid w:val="7E8578C3"/>
    <w:rsid w:val="7EBC51A5"/>
    <w:rsid w:val="7EF504B6"/>
    <w:rsid w:val="7F857428"/>
    <w:rsid w:val="7F9540CA"/>
    <w:rsid w:val="7F99166F"/>
    <w:rsid w:val="7FAB69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ascii="Cambria" w:hAnsi="Cambria" w:eastAsia="黑体" w:cs="Times New Roman"/>
      <w:sz w:val="20"/>
      <w:szCs w:val="20"/>
    </w:rPr>
  </w:style>
  <w:style w:type="paragraph" w:styleId="3">
    <w:name w:val="annotation text"/>
    <w:basedOn w:val="1"/>
    <w:link w:val="14"/>
    <w:unhideWhenUsed/>
    <w:qFormat/>
    <w:uiPriority w:val="99"/>
    <w:pPr>
      <w:jc w:val="left"/>
    </w:pPr>
  </w:style>
  <w:style w:type="paragraph" w:styleId="4">
    <w:name w:val="Balloon Text"/>
    <w:basedOn w:val="1"/>
    <w:link w:val="15"/>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semiHidden/>
    <w:unhideWhenUsed/>
    <w:qFormat/>
    <w:uiPriority w:val="39"/>
  </w:style>
  <w:style w:type="paragraph" w:styleId="8">
    <w:name w:val="toc 2"/>
    <w:basedOn w:val="1"/>
    <w:next w:val="1"/>
    <w:semiHidden/>
    <w:unhideWhenUsed/>
    <w:qFormat/>
    <w:uiPriority w:val="39"/>
    <w:pPr>
      <w:ind w:left="420" w:leftChars="200"/>
    </w:pPr>
  </w:style>
  <w:style w:type="paragraph" w:styleId="9">
    <w:name w:val="annotation subject"/>
    <w:basedOn w:val="3"/>
    <w:next w:val="3"/>
    <w:link w:val="18"/>
    <w:unhideWhenUsed/>
    <w:qFormat/>
    <w:uiPriority w:val="99"/>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unhideWhenUsed/>
    <w:qFormat/>
    <w:uiPriority w:val="99"/>
    <w:rPr>
      <w:sz w:val="21"/>
      <w:szCs w:val="21"/>
    </w:rPr>
  </w:style>
  <w:style w:type="character" w:customStyle="1" w:styleId="14">
    <w:name w:val="批注文字 字符"/>
    <w:basedOn w:val="12"/>
    <w:link w:val="3"/>
    <w:semiHidden/>
    <w:qFormat/>
    <w:uiPriority w:val="99"/>
    <w:rPr>
      <w:rFonts w:ascii="Calibri" w:hAnsi="Calibri" w:eastAsia="宋体" w:cs="Times New Roman"/>
      <w:kern w:val="2"/>
      <w:sz w:val="21"/>
      <w:szCs w:val="22"/>
    </w:rPr>
  </w:style>
  <w:style w:type="character" w:customStyle="1" w:styleId="15">
    <w:name w:val="批注框文本 字符"/>
    <w:basedOn w:val="12"/>
    <w:link w:val="4"/>
    <w:semiHidden/>
    <w:qFormat/>
    <w:uiPriority w:val="99"/>
    <w:rPr>
      <w:rFonts w:ascii="Calibri" w:hAnsi="Calibri" w:eastAsia="宋体" w:cs="Times New Roman"/>
      <w:kern w:val="2"/>
      <w:sz w:val="18"/>
      <w:szCs w:val="18"/>
    </w:rPr>
  </w:style>
  <w:style w:type="character" w:customStyle="1" w:styleId="16">
    <w:name w:val="页脚 字符"/>
    <w:basedOn w:val="12"/>
    <w:link w:val="5"/>
    <w:qFormat/>
    <w:uiPriority w:val="99"/>
    <w:rPr>
      <w:sz w:val="18"/>
      <w:szCs w:val="18"/>
    </w:rPr>
  </w:style>
  <w:style w:type="character" w:customStyle="1" w:styleId="17">
    <w:name w:val="页眉 字符"/>
    <w:basedOn w:val="12"/>
    <w:link w:val="6"/>
    <w:qFormat/>
    <w:uiPriority w:val="99"/>
    <w:rPr>
      <w:sz w:val="18"/>
      <w:szCs w:val="18"/>
    </w:rPr>
  </w:style>
  <w:style w:type="character" w:customStyle="1" w:styleId="18">
    <w:name w:val="批注主题 字符"/>
    <w:basedOn w:val="14"/>
    <w:link w:val="9"/>
    <w:semiHidden/>
    <w:qFormat/>
    <w:uiPriority w:val="99"/>
    <w:rPr>
      <w:rFonts w:ascii="Calibri" w:hAnsi="Calibri" w:eastAsia="宋体" w:cs="Times New Roman"/>
      <w:b/>
      <w:bCs/>
      <w:kern w:val="2"/>
      <w:sz w:val="21"/>
      <w:szCs w:val="22"/>
    </w:rPr>
  </w:style>
  <w:style w:type="paragraph" w:styleId="19">
    <w:name w:val="List Paragraph"/>
    <w:basedOn w:val="1"/>
    <w:qFormat/>
    <w:uiPriority w:val="34"/>
    <w:pPr>
      <w:ind w:firstLine="420" w:firstLineChars="200"/>
    </w:pPr>
  </w:style>
  <w:style w:type="table" w:customStyle="1" w:styleId="20">
    <w:name w:val="网格型1"/>
    <w:basedOn w:val="10"/>
    <w:qFormat/>
    <w:uiPriority w:val="59"/>
    <w:rPr>
      <w:rFonts w:ascii="Calibri" w:hAnsi="Calibri" w:eastAsia="宋体"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Intense $1 *TWM*PdvW9COBX3V/4VrjTUbJX7yHm4brO/9tx/Xh0X2TYLgKO+8+ntmZqrEFWL8H91NXpnJWHZa86x27jDHYoFpVXHG8rieFOY8TeIG1lvBma+uAdcRN6pYokVm3savjfrvGKVBODPJqdoFK6Fc4p2L4OUc9O/BbhWiaDtLtMEWt5Im3OIQSTnnLdD9LJlo0CqEKHVmxzvvxVZXSsWWKx2t8GfSmxaGjVAho4XkPgn1sTilDmdSLIXkuHDRnkhYEAbIjKYLdrZNTdRNZNZJNKlfMHM1goo6cSeaAaR43kGWVQs+c9/WQj8LRe9vYUAGNAMA+FltAQCMGze+bW2sEEAdGBg==*TWM*"/>
    <w:qFormat/>
    <w:uiPriority w:val="0"/>
  </w:style>
  <w:style w:type="table" w:customStyle="1" w:styleId="22">
    <w:name w:val="Intense $2 *TWM*PdvW9COBX3V/4VrjTUbJX7yHm4brO/9tx/Xh0X2TYLgKO+8+ntmZqrEFWL8H91NXpnJWHZa86x27jDHYoFpVXHG8rieFOY8TeIG1lvBma+uAdcRN6pYokVm3savjfrvGKVBODPJqdoFK6Fc4p2L4OUc9O/BbhWiaDtLtMEWt5Im3OIQSTnnLdD9LJlo0CqEKHVmxzvvxVZXSsWWKx2t8GfSmxaGjVAho4XkPgn1sTilDmdSLIXkuHDRnkhYEAbIjKYLdrZNTdRNZNZJNKlfMHM1goo6cSeaAaR43kGWVQs+c9/WQj8LRe9vYUAGNAMA+FltAQCMGze+bW2sEEAdGBg==*TWM*"/>
    <w:qFormat/>
    <w:uiPriority w:val="0"/>
  </w:style>
  <w:style w:type="table" w:customStyle="1" w:styleId="23">
    <w:name w:val="Intense $3 *TWM*PdvW9COBX3V/4VrjTUbJX7yHm4brO/9tx/Xh0X2TYLgKO+8+ntmZqrEFWL8H91NXpnJWHZa86x27jDHYoFpVXHG8rieFOY8TeIG1lvBma+uAdcRN6pYokVm3savjfrvGKVBODPJqdoFK6Fc4p2L4OUc9O/BbhWiaDtLtMEWt5Im3OIQSTnnLdD9LJlo0CqEKHVmxzvvxVZXSsWWKx2t8GfSmxaGjVAho4XkPgn1sTilDmdSLIXkuHDRnkhYEAbIjKYLdrZNTdRNZNZJNKlfMHM1goo6cSeaAaR43kGWVQs+c9/WQj8LRe9vYUAGNAMA+FltAQCMGze+bW2sEEAdGBg==*TWM*"/>
    <w:qFormat/>
    <w:uiPriority w:val="0"/>
  </w:style>
  <w:style w:type="table" w:styleId="Intense$1*TWM*dqcE3WXxnT4+sk2S1rdNJY/pDsudLU+SJfxPhoZh4R35/vz8F+3CVhLtfnxhzom0sGkzDD5EgJA/BA8CGokdu0O2X9SBfoLVXoPHsBuzamrTGKALt9uL09NulIq6bnwGsfblAy6zx5CDGlCyqllw0S9RB9wMbmzlx7dz8nW2PpvpiXYV/JJ2nyG9U+I35cPgOYr4s1FlWZ6ChSLyQ1FiRAJvyDywKLxlMkmpsCReAkcZrBedsLJCXM2Oww7/WvTyANgXtggl/luot3AKsVcsLfKW8Wdz0ohaqrOJA0MYhFdFhXrmkBYuNQ2LFnYcqKjoy6OVy6amWC9PMbwOscgWqg==*TWM*">
    <w:name w:val="Intense $1 *TWM*dqcE3WXxnT4+sk2S1rdNJY/pDsudLU+SJfxPhoZh4R35/vz8F+3CVhLtfnxhzom0sGkzDD5EgJA/BA8CGokdu0O2X9SBfoLVXoPHsBuzamrTGKALt9uL09NulIq6bnwGsfblAy6zx5CDGlCyqllw0S9RB9wMbmzlx7dz8nW2PpvpiXYV/JJ2nyG9U+I35cPgOYr4s1FlWZ6ChSLyQ1FiRAJvyDywKLxlMkmpsCReAkcZrBedsLJCXM2Oww7/WvTyANgXtggl/luot3AKsVcsLfKW8Wdz0ohaqrOJA0MYhFdFhXrmkBYuNQ2LFnYcqKjoy6OVy6amWC9PMbwOscgWqg==*TWM*"/>
  </w:style>
  <w:style w:type="table" w:styleId="Intense$2*TWM*dqcE3WXxnT4+sk2S1rdNJY/pDsudLU+SJfxPhoZh4R35/vz8F+3CVhLtfnxhzom0sGkzDD5EgJA/BA8CGokdu0O2X9SBfoLVXoPHsBuzamrTGKALt9uL09NulIq6bnwGsfblAy6zx5CDGlCyqllw0S9RB9wMbmzlx7dz8nW2PpvpiXYV/JJ2nyG9U+I35cPgOYr4s1FlWZ6ChSLyQ1FiRAJvyDywKLxlMkmpsCReAkcZrBedsLJCXM2Oww7/WvTyANgXtggl/luot3AKsVcsLfKW8Wdz0ohaqrOJA0MYhFdFhXrmkBYuNQ2LFnYcqKjoy6OVy6amWC9PMbwOscgWqg==*TWM*">
    <w:name w:val="Intense $2 *TWM*dqcE3WXxnT4+sk2S1rdNJY/pDsudLU+SJfxPhoZh4R35/vz8F+3CVhLtfnxhzom0sGkzDD5EgJA/BA8CGokdu0O2X9SBfoLVXoPHsBuzamrTGKALt9uL09NulIq6bnwGsfblAy6zx5CDGlCyqllw0S9RB9wMbmzlx7dz8nW2PpvpiXYV/JJ2nyG9U+I35cPgOYr4s1FlWZ6ChSLyQ1FiRAJvyDywKLxlMkmpsCReAkcZrBedsLJCXM2Oww7/WvTyANgXtggl/luot3AKsVcsLfKW8Wdz0ohaqrOJA0MYhFdFhXrmkBYuNQ2LFnYcqKjoy6OVy6amWC9PMbwOscgWqg==*TWM*"/>
  </w:style>
  <w:style w:type="table" w:styleId="Intense$3*TWM*dqcE3WXxnT4+sk2S1rdNJY/pDsudLU+SJfxPhoZh4R35/vz8F+3CVhLtfnxhzom0sGkzDD5EgJA/BA8CGokdu0O2X9SBfoLVXoPHsBuzamrTGKALt9uL09NulIq6bnwGsfblAy6zx5CDGlCyqllw0S9RB9wMbmzlx7dz8nW2PpvpiXYV/JJ2nyG9U+I35cPgOYr4s1FlWZ6ChSLyQ1FiRAJvyDywKLxlMkmpsCReAkcZrBedsLJCXM2Oww7/WvTyANgXtggl/luot3AKsVcsLfKW8Wdz0ohaqrOJA0MYhFdFhXrmkBYuNQ2LFnYcqKjoy6OVy6amWC9PMbwOscgWqg==*TWM*">
    <w:name w:val="Intense $3 *TWM*dqcE3WXxnT4+sk2S1rdNJY/pDsudLU+SJfxPhoZh4R35/vz8F+3CVhLtfnxhzom0sGkzDD5EgJA/BA8CGokdu0O2X9SBfoLVXoPHsBuzamrTGKALt9uL09NulIq6bnwGsfblAy6zx5CDGlCyqllw0S9RB9wMbmzlx7dz8nW2PpvpiXYV/JJ2nyG9U+I35cPgOYr4s1FlWZ6ChSLyQ1FiRAJvyDywKLxlMkmpsCReAkcZrBedsLJCXM2Oww7/WvTyANgXtggl/luot3AKsVcsLfKW8Wdz0ohaqrOJA0MYhFdFhXrmkBYuNQ2LFnYcqKjoy6OVy6amWC9PMbwOscgWqg==*TWM*"/>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2554</Words>
  <Characters>2591</Characters>
  <Lines>61</Lines>
  <Paragraphs>17</Paragraphs>
  <TotalTime>219</TotalTime>
  <ScaleCrop>false</ScaleCrop>
  <LinksUpToDate>false</LinksUpToDate>
  <CharactersWithSpaces>2641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2021-11-11T00:32:00Z</dcterms:created>
  <dc:creator>翟庆庆</dc:creator>
  <cp:lastModifiedBy>李志强</cp:lastModifiedBy>
  <cp:lastPrinted>2019-09-27T00:55:00Z</cp:lastPrinted>
  <dcterms:modified xsi:type="dcterms:W3CDTF">2025-11-19T05:55:46Z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C5EA0812841B41C5A69C18FAF641650D_13</vt:lpwstr>
  </property>
  <property fmtid="{D5CDD505-2E9C-101B-9397-08002B2CF9AE}" pid="4" name="KSOTemplateDocerSaveRecord">
    <vt:lpwstr>eyJoZGlkIjoiMDZhNDA5M2YyOGJmMGNlZjk2NjQxMGU4NzY3OWYyODEiLCJ1c2VySWQiOiI1NzgxNTEwMjgifQ==</vt:lpwstr>
  </property>
</Properties>
</file>