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面向移动机器人的自适应加权 A* 路径规划算法研究</w:t>
      </w:r>
    </w:p>
    <w:p>
      <w:pPr>
        <w:jc w:val="center"/>
      </w:pPr>
      <w:r>
        <w:rPr>
          <w:rFonts w:ascii="宋体" w:hAnsi="宋体" w:eastAsia="宋体"/>
          <w:sz w:val="24"/>
        </w:rPr>
        <w:t>刘佳淑</w:t>
      </w:r>
    </w:p>
    <w:p>
      <w:pPr>
        <w:spacing w:after="320"/>
        <w:jc w:val="center"/>
      </w:pPr>
      <w:r>
        <w:rPr>
          <w:rFonts w:ascii="宋体" w:hAnsi="宋体" w:eastAsia="宋体"/>
          <w:color w:val="646464"/>
          <w:sz w:val="20"/>
        </w:rPr>
        <w:t>（作者单位，城市 邮编）</w:t>
      </w:r>
    </w:p>
    <w:p>
      <w:pPr>
        <w:ind w:firstLine="420"/>
      </w:pPr>
      <w:r>
        <w:rPr>
          <w:rFonts w:ascii="黑体" w:hAnsi="黑体" w:eastAsia="黑体"/>
          <w:b/>
          <w:sz w:val="24"/>
        </w:rPr>
        <w:t>摘要：</w:t>
      </w:r>
      <w:r>
        <w:rPr>
          <w:rFonts w:ascii="宋体" w:hAnsi="宋体" w:eastAsia="宋体"/>
          <w:sz w:val="24"/>
        </w:rPr>
        <w:t>针对标准 A* 算法在 8 邻域栅格地图中存在的路径质量差、启发函数精度不足和环境适应性弱等问题，本文提出一种综合改进的 A* 路径规划算法。所提算法采用 Octile 距离作为启发函数，引入基于地图障碍率的自适应权重机制，并设计了结合视线简化与拐角插值平滑的两阶段路径后处理策略。自适应权重根据地图障碍率通过对数映射动态计算，取值范围限定在[1.0, 1.8]之间，用于工程加速（α&gt;1时为α-最优，严格最优性不作保证）；平滑过程引入障碍物碰撞检测，保证平滑后路径的物理合法性。 在 Moving AI Lab 基准数据集的 15 张真实地图（涵盖 DAO 游戏地图、Street 城市地图和 WC3 魔兽地图三类场景）上，采用固定 .scen 任务文件进行 30 次严格基准测试，共 2700 条记录。实验结果表明，与标准 A* 算法相比，本文算法的平均运行时间缩短约 12.7%（运行时间比值 0.8728x），路径长度平均缩短约 4.9%（绝对减少 0.299），转弯次数平均减少约 97.6%（从 1.131 次降至 0.027 次），且 15 张地图全部呈正向改进。消融实验进一步验证了各模块的独立贡献：自适应权重是运行时间改善的主要来源（去掉后运行时间增加约 8.1%），两阶段路径平滑是路径质量改善的主要来源（去掉后转弯次数从 0.027 回升至 0.991）。</w:t>
      </w:r>
    </w:p>
    <w:p>
      <w:pPr>
        <w:spacing w:after="240"/>
      </w:pPr>
      <w:r>
        <w:rPr>
          <w:rFonts w:ascii="黑体" w:hAnsi="黑体" w:eastAsia="黑体"/>
          <w:b/>
          <w:sz w:val="24"/>
        </w:rPr>
        <w:t>关键词：</w:t>
      </w:r>
      <w:r>
        <w:rPr>
          <w:rFonts w:ascii="宋体" w:hAnsi="宋体" w:eastAsia="宋体"/>
          <w:sz w:val="24"/>
        </w:rPr>
        <w:t>路径规划；A* 算法；Octile 启发函数；自适应权重；路径平滑；栅格地图</w:t>
      </w:r>
    </w:p>
    <w:p>
      <w:pPr>
        <w:ind w:firstLine="420"/>
      </w:pPr>
      <w:r>
        <w:rPr>
          <w:rFonts w:ascii="Times New Roman" w:hAnsi="Times New Roman"/>
          <w:b/>
          <w:sz w:val="22"/>
        </w:rPr>
        <w:t xml:space="preserve">Abstract: </w:t>
      </w:r>
      <w:r>
        <w:rPr>
          <w:rFonts w:ascii="Times New Roman" w:hAnsi="Times New Roman"/>
          <w:sz w:val="22"/>
        </w:rPr>
        <w:t>This paper proposes a comprehensive improvement to the A* path planning algorithm for 8-connected grid maps, addressing the limitations of the standard A* algorithm in path quality, heuristic accuracy, and environmental adaptability. The proposed algorithm employs the Octile distance as the heuristic function, introduces an adaptive weight mechanism based on the obstacle ratio of the map, and designs a two-stage path post-processing strategy combining line-of-sight simplification and corner interpolation smoothing. The adaptive weight is computed via a log-mapping of the map obstacle ratio, clipped to the range [1.0, 1.8], for engineering acceleration; strict path optimality is not guaranteed (the algorithm is alpha-optimal when alpha &gt; 1). Obstacle collision detection is incorporated into the smoothing process to guarantee the physical feasibility of the smoothed path. Systematic experiments are conducted on 15 real-world maps from the Moving AI Lab benchmark dataset, covering three map types (DAO game maps, Street maps, and Warcraft III maps), using fixed .scen task files with 30 trials per map (2,700 records in total). Experimental results demonstrate that, compared to the standard A* algorithm, the proposed method achieves an average reduction of 12.7% in runtime (runtime ratio 0.8728x), 4.9% in path length (absolute reduction 0.299), and 97.6% in turn count (from 1.131 to 0.027), with consistent improvements across all 15 maps. Ablation studies further validate the individual contributions of each module: the adaptive weight is the primary source of runtime improvement (removing it increases runtime by ~8.1%), while the two-stage path smoothing is the primary source of path quality improvement (removing it raises turn count from 0.027 back to 0.991).</w:t>
      </w:r>
    </w:p>
    <w:p>
      <w:pPr>
        <w:spacing w:after="320"/>
      </w:pPr>
      <w:r>
        <w:rPr>
          <w:rFonts w:ascii="Times New Roman" w:hAnsi="Times New Roman"/>
          <w:b/>
          <w:sz w:val="22"/>
        </w:rPr>
        <w:t xml:space="preserve">Keywords: </w:t>
      </w:r>
      <w:r>
        <w:rPr>
          <w:rFonts w:ascii="Times New Roman" w:hAnsi="Times New Roman"/>
          <w:sz w:val="22"/>
        </w:rPr>
        <w:t>Path planning; A* algorithm; Octile heuristic; Adaptive weight; Path smoothing; Grid map</w:t>
      </w:r>
    </w:p>
    <w:p>
      <w:pPr>
        <w:pStyle w:val="Heading1"/>
      </w:pPr>
      <w:r>
        <w:t>引言</w:t>
      </w:r>
    </w:p>
    <w:p>
      <w:pPr>
        <w:pStyle w:val="Heading2"/>
      </w:pPr>
      <w:r>
        <w:t>1.1 研究背景与意义</w:t>
      </w:r>
    </w:p>
    <w:p>
      <w:pPr>
        <w:ind w:firstLine="420"/>
      </w:pPr>
      <w:r>
        <w:rPr>
          <w:rFonts w:ascii="宋体" w:hAnsi="宋体" w:eastAsia="宋体"/>
          <w:sz w:val="24"/>
        </w:rPr>
        <w:t>移动机器人路径规划是自主导航系统的核心组成部分，在工业物流、服务机器人、无人驾驶及灾难搜救等领域具有广泛的应用价值。路径规划算法的性能直接决定了机器人能否在复杂环境中高效、安全地完成任务。</w:t>
      </w:r>
    </w:p>
    <w:p>
      <w:pPr>
        <w:ind w:firstLine="420"/>
      </w:pPr>
      <w:r>
        <w:rPr>
          <w:rFonts w:ascii="宋体" w:hAnsi="宋体" w:eastAsia="宋体"/>
          <w:sz w:val="24"/>
        </w:rPr>
        <w:t>在基于栅格地图的路径规划方法中，A* 算法因其最优性保证和相对较高的搜索效率，长期以来是学术研究和工程实践中的主流选择。然而，随着应用场景的复杂化，标准 A* 算法暴露出若干局限性：</w:t>
      </w:r>
    </w:p>
    <w:p>
      <w:pPr>
        <w:ind w:firstLine="420"/>
      </w:pPr>
      <w:r>
        <w:rPr>
          <w:rFonts w:ascii="宋体" w:hAnsi="宋体" w:eastAsia="宋体"/>
          <w:sz w:val="24"/>
        </w:rPr>
        <w:t>第一，路径质量问题。 标准 A* 算法在 8 邻域栅格地图中生成的路径往往呈现出明显的"锯齿状"特征，包含大量不必要的方向变换。过多的转弯不仅增加了机器人的运动学代价，还会导致执行时间延长和机械磨损加剧，在实际部署中难以直接使用。</w:t>
      </w:r>
    </w:p>
    <w:p>
      <w:pPr>
        <w:ind w:firstLine="420"/>
      </w:pPr>
      <w:r>
        <w:rPr>
          <w:rFonts w:ascii="宋体" w:hAnsi="宋体" w:eastAsia="宋体"/>
          <w:sz w:val="24"/>
        </w:rPr>
        <w:t>第二，启发函数精度问题。 常用的曼哈顿距离启发函数仅适用于 4 邻域移动，而欧氏距离在 8 邻域下会低估实际代价，导致搜索效率下降。针对 8 邻域移动的 Octile 距离虽然理论上更为精确，但其与自适应权重策略的结合尚未得到充分研究。</w:t>
      </w:r>
    </w:p>
    <w:p>
      <w:pPr>
        <w:ind w:firstLine="420"/>
      </w:pPr>
      <w:r>
        <w:rPr>
          <w:rFonts w:ascii="宋体" w:hAnsi="宋体" w:eastAsia="宋体"/>
          <w:sz w:val="24"/>
        </w:rPr>
        <w:t>第三，环境自适应问题。 不同的地图环境（稀疏开阔地图 vs. 高障碍率迷宫地图）对搜索策略的需求存在本质差异。固定参数的启发式算法难以在不同环境下均取得最优表现。</w:t>
      </w:r>
    </w:p>
    <w:p>
      <w:pPr>
        <w:ind w:firstLine="420"/>
      </w:pPr>
      <w:r>
        <w:rPr>
          <w:rFonts w:ascii="宋体" w:hAnsi="宋体" w:eastAsia="宋体"/>
          <w:sz w:val="24"/>
        </w:rPr>
        <w:t>针对上述问题，本文提出一种综合改进的 A* 路径规划算法，通过引入 Octile 启发函数、基于障碍率的自适应权重机制以及两阶段路径后处理策略，显著提升路径质量并改善搜索效率。</w:t>
      </w:r>
    </w:p>
    <w:p>
      <w:pPr>
        <w:pStyle w:val="Heading2"/>
      </w:pPr>
      <w:r>
        <w:t>1.2 国内外研究现状</w:t>
      </w:r>
    </w:p>
    <w:p>
      <w:pPr>
        <w:ind w:firstLine="420"/>
      </w:pPr>
      <w:r>
        <w:rPr>
          <w:rFonts w:ascii="宋体" w:hAnsi="宋体" w:eastAsia="宋体"/>
          <w:sz w:val="24"/>
        </w:rPr>
        <w:t>路径规划算法的研究可追溯至 20 世纪 60 年代。Hart 等人于 1968 年提出的 A* 算法奠定了启发式搜索的理论基础，此后研究者从多个方向对其进行了改进与扩展。</w:t>
      </w:r>
    </w:p>
    <w:p>
      <w:pPr>
        <w:ind w:firstLine="420"/>
      </w:pPr>
      <w:r>
        <w:rPr>
          <w:rFonts w:ascii="宋体" w:hAnsi="宋体" w:eastAsia="宋体"/>
          <w:sz w:val="24"/>
        </w:rPr>
        <w:t>启发函数改进方向。 针对不同运动模型的启发函数设计是提升 A* 效率的重要途径。Octile 距离作为 8 邻域移动的精确下界估计，已被证明在搜索效率上优于曼哈顿距离和欧氏距离。加权 A*（Weighted A*）通过对启发值乘以权重系数 \alpha &gt; 1，以牺牲最优性换取更快的搜索速度，在实时性要求较高的场景中得到广泛应用[6]。沈克宇等[7]在此基础上结合障碍物膨胀策略进一步提升了搜索效率；尧尹柱等[8]提出自适应方向权重机制，在小规模栅格地图上取得了显著加速效果。</w:t>
      </w:r>
    </w:p>
    <w:p>
      <w:pPr>
        <w:ind w:firstLine="420"/>
      </w:pPr>
      <w:r>
        <w:rPr>
          <w:rFonts w:ascii="宋体" w:hAnsi="宋体" w:eastAsia="宋体"/>
          <w:sz w:val="24"/>
        </w:rPr>
        <w:t>跳点搜索（JPS）方向。 Harabor 和 Grastien 于 2011 年提出的跳点搜索算法通过识别和利用地图的对称性，大幅减少了需要扩展的节点数量，在均匀代价网格上取得了显著的加速效果[2]。然而，JPS 在非均匀代价地图和复杂障碍分布下的性能提升有限。任祥瑞等[9]将改进 JPS 与动态窗口法（DWA）融合，在多机器人路径规划场景中取得了良好效果。</w:t>
      </w:r>
    </w:p>
    <w:p>
      <w:pPr>
        <w:ind w:firstLine="420"/>
      </w:pPr>
      <w:r>
        <w:rPr>
          <w:rFonts w:ascii="宋体" w:hAnsi="宋体" w:eastAsia="宋体"/>
          <w:sz w:val="24"/>
        </w:rPr>
        <w:t>路径平滑方向。 针对栅格路径的锯齿问题，研究者提出了多种后处理方法，包括基于视线检测的路径简化（Theta*[3]）、样条曲线拟合以及基于物理约束的轨迹优化等。冯志乾等[10]和高建京等[11]分别将改进 A* 与 DWA 融合，在平滑路径的同时兼顾了动态避障能力。</w:t>
      </w:r>
    </w:p>
    <w:p>
      <w:pPr>
        <w:ind w:firstLine="420"/>
      </w:pPr>
      <w:r>
        <w:rPr>
          <w:rFonts w:ascii="宋体" w:hAnsi="宋体" w:eastAsia="宋体"/>
          <w:sz w:val="24"/>
        </w:rPr>
        <w:t>自适应策略方向。 近年来，研究者开始关注算法参数对环境特征的自适应调整。基于地图统计特征（如障碍率、连通性）动态调整搜索策略，可以在不同环境下取得更为均衡的性能表现。段孟滨等[12]在差动机器人路径跟踪控制中引入改进 A* 与多参考点 MPC，进一步验证了自适应策略在复杂场景中的有效性。</w:t>
      </w:r>
    </w:p>
    <w:p>
      <w:pPr>
        <w:ind w:firstLine="420"/>
      </w:pPr>
      <w:r>
        <w:rPr>
          <w:rFonts w:ascii="宋体" w:hAnsi="宋体" w:eastAsia="宋体"/>
          <w:sz w:val="24"/>
        </w:rPr>
        <w:t>综合来看，现有研究多聚焦于单一维度的改进，而将启发函数精度、自适应权重和路径质量后处理进行系统性整合的工作相对较少。本文的工作正是在这一背景下展开的。</w:t>
      </w:r>
    </w:p>
    <w:p>
      <w:pPr>
        <w:pStyle w:val="Heading2"/>
      </w:pPr>
      <w:r>
        <w:t>1.3 本文主要工作与贡献</w:t>
      </w:r>
    </w:p>
    <w:p>
      <w:pPr>
        <w:ind w:firstLine="420"/>
      </w:pPr>
      <w:r>
        <w:rPr>
          <w:rFonts w:ascii="宋体" w:hAnsi="宋体" w:eastAsia="宋体"/>
          <w:sz w:val="24"/>
        </w:rPr>
        <w:t>本文的主要工作和贡献如下：</w:t>
      </w:r>
    </w:p>
    <w:p>
      <w:pPr>
        <w:ind w:firstLine="420"/>
      </w:pPr>
      <w:r>
        <w:rPr>
          <w:rFonts w:ascii="宋体" w:hAnsi="宋体" w:eastAsia="宋体"/>
          <w:sz w:val="24"/>
        </w:rPr>
        <w:t>(1) 提出基于 Octile 距离的自适应加权 A* 算法。 以 Octile 距离作为启发函数，引入基于地图障碍率的自适应权重机制，权重 \alpha 根据 \alpha = \text{clip}(|\ln(\text{障碍率})|, 1.0, 1.8) 动态计算。该加权策略用于工程加速，严格最优性不作保证（\alpha &gt; 1 时为 \alpha-最优）。</w:t>
      </w:r>
    </w:p>
    <w:p>
      <w:pPr>
        <w:ind w:firstLine="420"/>
      </w:pPr>
      <w:r>
        <w:rPr>
          <w:rFonts w:ascii="宋体" w:hAnsi="宋体" w:eastAsia="宋体"/>
          <w:sz w:val="24"/>
        </w:rPr>
        <w:t>(2) 设计两阶段路径后处理策略。 第一阶段基于视线检测删除冗余中间点，第二阶段对剩余拐角进行加权平均插值平滑，同时引入障碍物碰撞检测以保证路径物理合法性。实验表明，该策略可将路径转弯次数减少约 97.6%，路径长度缩短约 4.9%。</w:t>
      </w:r>
    </w:p>
    <w:p>
      <w:pPr>
        <w:ind w:firstLine="420"/>
      </w:pPr>
      <w:r>
        <w:rPr>
          <w:rFonts w:ascii="宋体" w:hAnsi="宋体" w:eastAsia="宋体"/>
          <w:sz w:val="24"/>
        </w:rPr>
        <w:t>(3) 在 Moving AI 标准基准地图集上进行系统性评估。 在 15 张涵盖游戏地图（DAO）、城市街道地图（Street）和魔兽争霸地图（WC3）的真实地图上，采用固定 .scen 任务文件进行 30 次严格基准测试，共 2700 条记录。实验结果表明改进算法在运行时间上平均比传统 A* 快 12.7%，同时路径质量显著提升。</w:t>
      </w:r>
    </w:p>
    <w:p>
      <w:pPr>
        <w:pStyle w:val="Heading2"/>
      </w:pPr>
      <w:r>
        <w:t>1.4 论文结构安排</w:t>
      </w:r>
    </w:p>
    <w:p>
      <w:pPr>
        <w:ind w:firstLine="420"/>
      </w:pPr>
      <w:r>
        <w:rPr>
          <w:rFonts w:ascii="宋体" w:hAnsi="宋体" w:eastAsia="宋体"/>
          <w:sz w:val="24"/>
        </w:rPr>
        <w:t>本文其余部分组织如下：第 2 章介绍算法背景与理论基础；第 3 章详细描述所提出的改进算法；第 4 章介绍实验设计与评估方法；第 5 章给出实验结果与分析讨论；第 6 章总结全文并展望未来工作。</w:t>
      </w:r>
    </w:p>
    <w:p>
      <w:pPr>
        <w:pStyle w:val="Heading1"/>
      </w:pPr>
      <w:r>
        <w:t>算法背景与理论基础</w:t>
      </w:r>
    </w:p>
    <w:p>
      <w:pPr>
        <w:pStyle w:val="Heading2"/>
      </w:pPr>
      <w:r>
        <w:t>2.1 A* 算法与启发函数</w:t>
      </w:r>
    </w:p>
    <w:p>
      <w:pPr>
        <w:ind w:firstLine="420"/>
      </w:pPr>
      <w:r>
        <w:rPr>
          <w:rFonts w:ascii="宋体" w:hAnsi="宋体" w:eastAsia="宋体"/>
          <w:sz w:val="24"/>
        </w:rPr>
        <w:t>路径规划问题可形式化为在有向加权图中寻找从起点到终点最短路径的问题。Dijkstra 算法[5]通过广度优先的方式保证找到最优路径，但其时间复杂度为 O((V+E)\log V)，在大规模地图中效率较低。</w:t>
      </w:r>
    </w:p>
    <w:p>
      <w:pPr>
        <w:ind w:firstLine="420"/>
      </w:pPr>
      <w:r>
        <w:rPr>
          <w:rFonts w:ascii="宋体" w:hAnsi="宋体" w:eastAsia="宋体"/>
          <w:sz w:val="24"/>
        </w:rPr>
        <w:t>A* 算法[1]通过引入启发函数 h(n) 估计当前节点到目标的代价，将评估函数定义为 f(n) = g(n) + h(n)，其中 g(n) 为从起点到当前节点的实际代价。当启发函数满足可采纳性条件（即 h(n) \leq h^*(n)）时，A* 保证找到最优路径。</w:t>
      </w:r>
    </w:p>
    <w:p>
      <w:pPr>
        <w:ind w:firstLine="420"/>
      </w:pPr>
      <w:r>
        <w:rPr>
          <w:rFonts w:ascii="宋体" w:hAnsi="宋体" w:eastAsia="宋体"/>
          <w:sz w:val="24"/>
        </w:rPr>
        <w:t>在 8 邻域栅格地图中，常用的启发函数包括：</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宋体" w:hAnsi="宋体" w:eastAsia="宋体"/>
                <w:b/>
                <w:sz w:val="20"/>
              </w:rPr>
              <w:t>启发函数</w:t>
            </w:r>
          </w:p>
        </w:tc>
        <w:tc>
          <w:tcPr>
            <w:tcW w:type="dxa" w:w="2268"/>
          </w:tcPr>
          <w:p>
            <w:pPr>
              <w:jc w:val="center"/>
            </w:pPr>
            <w:r/>
            <w:r>
              <w:rPr>
                <w:rFonts w:ascii="宋体" w:hAnsi="宋体" w:eastAsia="宋体"/>
                <w:b/>
                <w:sz w:val="20"/>
              </w:rPr>
              <w:t>公式</w:t>
            </w:r>
          </w:p>
        </w:tc>
        <w:tc>
          <w:tcPr>
            <w:tcW w:type="dxa" w:w="2268"/>
          </w:tcPr>
          <w:p>
            <w:pPr>
              <w:jc w:val="center"/>
            </w:pPr>
            <w:r/>
            <w:r>
              <w:rPr>
                <w:rFonts w:ascii="宋体" w:hAnsi="宋体" w:eastAsia="宋体"/>
                <w:b/>
                <w:sz w:val="20"/>
              </w:rPr>
              <w:t>适用场景</w:t>
            </w:r>
          </w:p>
        </w:tc>
        <w:tc>
          <w:tcPr>
            <w:tcW w:type="dxa" w:w="2268"/>
          </w:tcPr>
          <w:p>
            <w:pPr>
              <w:jc w:val="center"/>
            </w:pPr>
            <w:r/>
            <w:r>
              <w:rPr>
                <w:rFonts w:ascii="宋体" w:hAnsi="宋体" w:eastAsia="宋体"/>
                <w:b/>
                <w:sz w:val="20"/>
              </w:rPr>
              <w:t>可采纳性</w:t>
            </w:r>
          </w:p>
        </w:tc>
      </w:tr>
      <w:tr>
        <w:tc>
          <w:tcPr>
            <w:tcW w:type="dxa" w:w="2268"/>
          </w:tcPr>
          <w:p>
            <w:pPr>
              <w:jc w:val="center"/>
            </w:pPr>
            <w:r/>
            <w:r>
              <w:rPr>
                <w:rFonts w:ascii="宋体" w:hAnsi="宋体" w:eastAsia="宋体"/>
                <w:sz w:val="20"/>
              </w:rPr>
              <w:t>曼哈顿距离</w:t>
            </w:r>
          </w:p>
        </w:tc>
        <w:tc>
          <w:tcPr>
            <w:tcW w:type="dxa" w:w="2268"/>
          </w:tcPr>
          <w:p>
            <w:pPr>
              <w:jc w:val="center"/>
            </w:pPr>
            <w:r/>
            <w:r>
              <w:rPr>
                <w:rFonts w:ascii="宋体" w:hAnsi="宋体" w:eastAsia="宋体"/>
                <w:sz w:val="20"/>
              </w:rPr>
              <w:t>$</w:t>
            </w:r>
          </w:p>
        </w:tc>
        <w:tc>
          <w:tcPr>
            <w:tcW w:type="dxa" w:w="2268"/>
          </w:tcPr>
          <w:p>
            <w:pPr>
              <w:jc w:val="center"/>
            </w:pPr>
            <w:r/>
            <w:r>
              <w:rPr>
                <w:rFonts w:ascii="宋体" w:hAnsi="宋体" w:eastAsia="宋体"/>
                <w:sz w:val="20"/>
              </w:rPr>
              <w:t>dx</w:t>
            </w:r>
          </w:p>
        </w:tc>
        <w:tc>
          <w:tcPr>
            <w:tcW w:type="dxa" w:w="2268"/>
          </w:tcPr>
          <w:p>
            <w:pPr>
              <w:jc w:val="center"/>
            </w:pPr>
            <w:r/>
            <w:r>
              <w:rPr>
                <w:rFonts w:ascii="宋体" w:hAnsi="宋体" w:eastAsia="宋体"/>
                <w:sz w:val="20"/>
              </w:rPr>
              <w:t>+</w:t>
            </w:r>
          </w:p>
        </w:tc>
      </w:tr>
      <w:tr>
        <w:tc>
          <w:tcPr>
            <w:tcW w:type="dxa" w:w="2268"/>
          </w:tcPr>
          <w:p>
            <w:pPr>
              <w:jc w:val="center"/>
            </w:pPr>
            <w:r/>
            <w:r>
              <w:rPr>
                <w:rFonts w:ascii="宋体" w:hAnsi="宋体" w:eastAsia="宋体"/>
                <w:sz w:val="20"/>
              </w:rPr>
              <w:t>欧氏距离</w:t>
            </w:r>
          </w:p>
        </w:tc>
        <w:tc>
          <w:tcPr>
            <w:tcW w:type="dxa" w:w="2268"/>
          </w:tcPr>
          <w:p>
            <w:pPr>
              <w:jc w:val="center"/>
            </w:pPr>
            <w:r/>
            <w:r>
              <w:rPr>
                <w:rFonts w:ascii="宋体" w:hAnsi="宋体" w:eastAsia="宋体"/>
                <w:sz w:val="20"/>
              </w:rPr>
              <w:t>\sqrt{dx^2 + dy^2}</w:t>
            </w:r>
          </w:p>
        </w:tc>
        <w:tc>
          <w:tcPr>
            <w:tcW w:type="dxa" w:w="2268"/>
          </w:tcPr>
          <w:p>
            <w:pPr>
              <w:jc w:val="center"/>
            </w:pPr>
            <w:r/>
            <w:r>
              <w:rPr>
                <w:rFonts w:ascii="宋体" w:hAnsi="宋体" w:eastAsia="宋体"/>
                <w:sz w:val="20"/>
              </w:rPr>
              <w:t>任意方向</w:t>
            </w:r>
          </w:p>
        </w:tc>
        <w:tc>
          <w:tcPr>
            <w:tcW w:type="dxa" w:w="2268"/>
          </w:tcPr>
          <w:p>
            <w:pPr>
              <w:jc w:val="center"/>
            </w:pPr>
            <w:r/>
            <w:r>
              <w:rPr>
                <w:rFonts w:ascii="宋体" w:hAnsi="宋体" w:eastAsia="宋体"/>
                <w:sz w:val="20"/>
              </w:rPr>
              <w:t>可采纳，但低估较多</w:t>
            </w:r>
          </w:p>
        </w:tc>
      </w:tr>
      <w:tr>
        <w:tc>
          <w:tcPr>
            <w:tcW w:type="dxa" w:w="2268"/>
          </w:tcPr>
          <w:p>
            <w:pPr>
              <w:jc w:val="center"/>
            </w:pPr>
            <w:r/>
            <w:r>
              <w:rPr>
                <w:rFonts w:ascii="宋体" w:hAnsi="宋体" w:eastAsia="宋体"/>
                <w:sz w:val="20"/>
              </w:rPr>
              <w:t>Octile 距离</w:t>
            </w:r>
          </w:p>
        </w:tc>
        <w:tc>
          <w:tcPr>
            <w:tcW w:type="dxa" w:w="2268"/>
          </w:tcPr>
          <w:p>
            <w:pPr>
              <w:jc w:val="center"/>
            </w:pPr>
            <w:r/>
            <w:r>
              <w:rPr>
                <w:rFonts w:ascii="宋体" w:hAnsi="宋体" w:eastAsia="宋体"/>
                <w:sz w:val="20"/>
              </w:rPr>
              <w:t>\max(dx,dy)+(\sqrt{2}-1)\min(dx,dy)</w:t>
            </w:r>
          </w:p>
        </w:tc>
        <w:tc>
          <w:tcPr>
            <w:tcW w:type="dxa" w:w="2268"/>
          </w:tcPr>
          <w:p>
            <w:pPr>
              <w:jc w:val="center"/>
            </w:pPr>
            <w:r/>
            <w:r>
              <w:rPr>
                <w:rFonts w:ascii="宋体" w:hAnsi="宋体" w:eastAsia="宋体"/>
                <w:sz w:val="20"/>
              </w:rPr>
              <w:t>8 邻域移动</w:t>
            </w:r>
          </w:p>
        </w:tc>
        <w:tc>
          <w:tcPr>
            <w:tcW w:type="dxa" w:w="2268"/>
          </w:tcPr>
          <w:p>
            <w:pPr>
              <w:jc w:val="center"/>
            </w:pPr>
            <w:r/>
            <w:r>
              <w:rPr>
                <w:rFonts w:ascii="宋体" w:hAnsi="宋体" w:eastAsia="宋体"/>
                <w:sz w:val="20"/>
              </w:rPr>
              <w:t>可采纳且紧致</w:t>
            </w:r>
          </w:p>
        </w:tc>
      </w:tr>
    </w:tbl>
    <w:p/>
    <w:p>
      <w:pPr>
        <w:ind w:firstLine="420"/>
      </w:pPr>
      <w:r>
        <w:rPr>
          <w:rFonts w:ascii="宋体" w:hAnsi="宋体" w:eastAsia="宋体"/>
          <w:sz w:val="24"/>
        </w:rPr>
        <w:t>Octile 距离是 8 邻域移动下的精确下界，相比欧氏距离具有更高的估计精度，因而能够更有效地引导搜索方向。</w:t>
      </w:r>
    </w:p>
    <w:p>
      <w:pPr>
        <w:pStyle w:val="Heading2"/>
      </w:pPr>
      <w:r>
        <w:t>2.2 加权 A* 与 α-最优性</w:t>
      </w:r>
    </w:p>
    <w:p>
      <w:pPr>
        <w:ind w:firstLine="420"/>
      </w:pPr>
      <w:r>
        <w:rPr>
          <w:rFonts w:ascii="宋体" w:hAnsi="宋体" w:eastAsia="宋体"/>
          <w:sz w:val="24"/>
        </w:rPr>
        <w:t>加权 A*（Weighted A*）[6]将评估函数修改为 f(n) = g(n) + \alpha \cdot h(n)，其中 \alpha &gt; 1。通过放大启发值的影响，算法更倾向于向目标方向扩展，从而减少搜索节点数量，提升搜索速度。理论上，加权 A* 找到的路径代价不超过最优路径代价的 \alpha 倍，即满足 \alpha-最优性。</w:t>
      </w:r>
    </w:p>
    <w:p>
      <w:pPr>
        <w:pStyle w:val="Heading2"/>
      </w:pPr>
      <w:r>
        <w:t>2.3 跳点搜索（JPS）</w:t>
      </w:r>
    </w:p>
    <w:p>
      <w:pPr>
        <w:ind w:firstLine="420"/>
      </w:pPr>
      <w:r>
        <w:rPr>
          <w:rFonts w:ascii="宋体" w:hAnsi="宋体" w:eastAsia="宋体"/>
          <w:sz w:val="24"/>
        </w:rPr>
        <w:t>跳点搜索（Jump Point Search, JPS）算法[2]通过识别网格地图中的对称性，将搜索空间中的冗余路径剪枝，仅保留具有代表性的"跳点"。JPS 在均匀代价网格上可将 A* 的节点扩展数量减少一到两个数量级。然而，JPS 的有效性依赖于地图的规则性：在障碍物密集或分布不规则的地图上，性能优势减弱。</w:t>
      </w:r>
    </w:p>
    <w:p>
      <w:pPr>
        <w:pStyle w:val="Heading2"/>
      </w:pPr>
      <w:r>
        <w:t>2.4 路径平滑理论</w:t>
      </w:r>
    </w:p>
    <w:p>
      <w:pPr>
        <w:ind w:firstLine="420"/>
      </w:pPr>
      <w:r>
        <w:rPr>
          <w:rFonts w:ascii="宋体" w:hAnsi="宋体" w:eastAsia="宋体"/>
          <w:sz w:val="24"/>
        </w:rPr>
        <w:t>栅格路径规划的一个固有问题是生成的路径受栅格分辨率约束，呈现出锯齿状特征。常用的后处理方法包括：</w:t>
      </w:r>
    </w:p>
    <w:p>
      <w:pPr>
        <w:ind w:firstLine="420"/>
      </w:pPr>
      <w:r>
        <w:rPr>
          <w:rFonts w:ascii="宋体" w:hAnsi="宋体" w:eastAsia="宋体"/>
          <w:sz w:val="24"/>
        </w:rPr>
        <w:t>视线简化（Line-of-Sight Simplification）。 通过检测路径上相邻节点之间是否存在无障碍直线连接，删除可以被直线替代的中间节点。Theta* 算法[3]将这一思想融入搜索过程，在搜索时直接生成任意角度路径。</w:t>
      </w:r>
    </w:p>
    <w:p>
      <w:pPr>
        <w:ind w:firstLine="420"/>
      </w:pPr>
      <w:r>
        <w:rPr>
          <w:rFonts w:ascii="宋体" w:hAnsi="宋体" w:eastAsia="宋体"/>
          <w:sz w:val="24"/>
        </w:rPr>
        <w:t>加权平均平滑。 通过对路径点坐标进行加权平均，减小相邻路径点之间的方向变化，具有计算简单、实现方便的优点。</w:t>
      </w:r>
    </w:p>
    <w:p>
      <w:pPr>
        <w:pStyle w:val="Heading2"/>
      </w:pPr>
      <w:r>
        <w:t>2.5 Moving AI Lab 基准数据集</w:t>
      </w:r>
    </w:p>
    <w:p>
      <w:pPr>
        <w:ind w:firstLine="420"/>
      </w:pPr>
      <w:r>
        <w:rPr>
          <w:rFonts w:ascii="宋体" w:hAnsi="宋体" w:eastAsia="宋体"/>
          <w:sz w:val="24"/>
        </w:rPr>
        <w:t>Moving AI Lab 提供的基准地图集[4]（包括 DAO、Street、WC3 等类型）是路径规划算法评估的标准测试集，被广泛用于算法性能对比研究。本文在该基准集上进行系统性评估，以确保实验结果的可复现性和可比较性。</w:t>
      </w:r>
    </w:p>
    <w:p>
      <w:pPr>
        <w:pStyle w:val="Heading1"/>
      </w:pPr>
      <w:r>
        <w:t>改进 A* 算法设计</w:t>
      </w:r>
    </w:p>
    <w:p>
      <w:pPr>
        <w:pStyle w:val="Heading2"/>
      </w:pPr>
      <w:r>
        <w:t>3.1 问题定义与符号</w:t>
      </w:r>
    </w:p>
    <w:p>
      <w:pPr>
        <w:ind w:firstLine="420"/>
      </w:pPr>
      <w:r>
        <w:rPr>
          <w:rFonts w:ascii="宋体" w:hAnsi="宋体" w:eastAsia="宋体"/>
          <w:sz w:val="24"/>
        </w:rPr>
        <w:t>本文在二维栅格地图中研究移动机器人全局路径规划问题。地图中每个栅格仅有"可通行"和"障碍"两种状态，机器人在 8 邻域内移动。设起点为 s，终点为 g，路径记为 P=\{p_0, \ldots, p_k\}。目标是在无碰撞前提下，兼顾路径长度、转弯次数与规划时间。</w:t>
      </w:r>
    </w:p>
    <w:p>
      <w:pPr>
        <w:ind w:firstLine="420"/>
      </w:pPr>
      <w:r>
        <w:rPr>
          <w:rFonts w:ascii="宋体" w:hAnsi="宋体" w:eastAsia="宋体"/>
          <w:sz w:val="24"/>
        </w:rPr>
        <w:t>传统 A* 的评价函数为：</w:t>
      </w:r>
    </w:p>
    <w:p>
      <w:pPr>
        <w:jc w:val="center"/>
      </w:pPr>
      <w:r>
        <w:rPr>
          <w:rFonts w:ascii="Times New Roman" w:hAnsi="Times New Roman"/>
          <w:i/>
          <w:sz w:val="22"/>
        </w:rPr>
        <w:t>f(n) = g(n) + h(n)</w:t>
      </w:r>
    </w:p>
    <w:p>
      <w:pPr>
        <w:ind w:firstLine="420"/>
      </w:pPr>
      <w:r>
        <w:rPr>
          <w:rFonts w:ascii="宋体" w:hAnsi="宋体" w:eastAsia="宋体"/>
          <w:sz w:val="24"/>
        </w:rPr>
        <w:t>其中，g(n) 表示从起点到当前节点 n 的实际代价，h(n) 表示从当前节点到目标节点的估计代价。</w:t>
      </w:r>
    </w:p>
    <w:p>
      <w:pPr>
        <w:pStyle w:val="Heading2"/>
      </w:pPr>
      <w:r>
        <w:t>3.2 改进总体框架</w:t>
      </w:r>
    </w:p>
    <w:p>
      <w:pPr>
        <w:ind w:firstLine="420"/>
      </w:pPr>
      <w:r>
        <w:rPr>
          <w:rFonts w:ascii="宋体" w:hAnsi="宋体" w:eastAsia="宋体"/>
          <w:sz w:val="24"/>
        </w:rPr>
        <w:t>本文提出的改进 A* 包括三个核心模块：</w:t>
      </w:r>
    </w:p>
    <w:p>
      <w:pPr>
        <w:pStyle w:val="ListNumber"/>
      </w:pPr>
      <w:r>
        <w:rPr>
          <w:rFonts w:ascii="宋体" w:hAnsi="宋体" w:eastAsia="宋体"/>
          <w:sz w:val="24"/>
        </w:rPr>
        <w:t>Octile 启发函数替代传统启发估计；</w:t>
      </w:r>
    </w:p>
    <w:p>
      <w:pPr>
        <w:pStyle w:val="ListNumber"/>
      </w:pPr>
      <w:r>
        <w:rPr>
          <w:rFonts w:ascii="宋体" w:hAnsi="宋体" w:eastAsia="宋体"/>
          <w:sz w:val="24"/>
        </w:rPr>
        <w:t>基于障碍率的启发权重自适应机制；</w:t>
      </w:r>
    </w:p>
    <w:p>
      <w:pPr>
        <w:pStyle w:val="ListNumber"/>
      </w:pPr>
      <w:r>
        <w:rPr>
          <w:rFonts w:ascii="宋体" w:hAnsi="宋体" w:eastAsia="宋体"/>
          <w:sz w:val="24"/>
        </w:rPr>
        <w:t>两阶段路径平滑策略（视线简化 + 拐角插值平滑）。</w:t>
      </w:r>
    </w:p>
    <w:p>
      <w:pPr>
        <w:ind w:firstLine="420"/>
      </w:pPr>
      <w:r>
        <w:rPr>
          <w:rFonts w:ascii="宋体" w:hAnsi="宋体" w:eastAsia="宋体"/>
          <w:sz w:val="24"/>
        </w:rPr>
        <w:t>整体流程为：地图输入 → 自适应加权搜索 → 路径回溯 → 视线简化 → 拐角平滑 → 输出最终路径。</w:t>
      </w:r>
    </w:p>
    <w:p>
      <w:pPr>
        <w:pStyle w:val="Heading2"/>
      </w:pPr>
      <w:r>
        <w:t>3.3 Octile 启发函数</w:t>
      </w:r>
    </w:p>
    <w:p>
      <w:pPr>
        <w:ind w:firstLine="420"/>
      </w:pPr>
      <w:r>
        <w:rPr>
          <w:rFonts w:ascii="宋体" w:hAnsi="宋体" w:eastAsia="宋体"/>
          <w:sz w:val="24"/>
        </w:rPr>
        <w:t>在 8 邻域栅格中，采用 Octile 距离可更好匹配斜向移动代价。设 dx=|x_g-x_n|，dy=|y_g-y_n|，则：</w:t>
      </w:r>
    </w:p>
    <w:p>
      <w:pPr>
        <w:jc w:val="center"/>
      </w:pPr>
      <w:r>
        <w:rPr>
          <w:rFonts w:ascii="Times New Roman" w:hAnsi="Times New Roman"/>
          <w:i/>
          <w:sz w:val="22"/>
        </w:rPr>
        <w:t>h_{oct}(n) = \max(dx, dy) + (\sqrt{2}-1)\min(dx, dy)</w:t>
      </w:r>
    </w:p>
    <w:p>
      <w:pPr>
        <w:ind w:firstLine="420"/>
      </w:pPr>
      <w:r>
        <w:rPr>
          <w:rFonts w:ascii="宋体" w:hAnsi="宋体" w:eastAsia="宋体"/>
          <w:sz w:val="24"/>
        </w:rPr>
        <w:t>相较欧氏距离与曼哈顿距离，Octile 距离在 8 邻域下更接近真实网格最短路代价，可减少无效扩展。</w:t>
      </w:r>
    </w:p>
    <w:p>
      <w:pPr>
        <w:pStyle w:val="Heading2"/>
      </w:pPr>
      <w:r>
        <w:t>3.4 启发权重自适应机制</w:t>
      </w:r>
    </w:p>
    <w:p>
      <w:pPr>
        <w:ind w:firstLine="420"/>
      </w:pPr>
      <w:r>
        <w:rPr>
          <w:rFonts w:ascii="宋体" w:hAnsi="宋体" w:eastAsia="宋体"/>
          <w:sz w:val="24"/>
        </w:rPr>
        <w:t>为平衡搜索速度与路径质量，构建加权评价函数：</w:t>
      </w:r>
    </w:p>
    <w:p>
      <w:pPr>
        <w:jc w:val="center"/>
      </w:pPr>
      <w:r>
        <w:rPr>
          <w:rFonts w:ascii="Times New Roman" w:hAnsi="Times New Roman"/>
          <w:i/>
          <w:sz w:val="22"/>
        </w:rPr>
        <w:t>f(n) = g(n) + \alpha \cdot h_{oct}(n)</w:t>
      </w:r>
    </w:p>
    <w:p>
      <w:pPr>
        <w:ind w:firstLine="420"/>
      </w:pPr>
      <w:r>
        <w:rPr>
          <w:rFonts w:ascii="宋体" w:hAnsi="宋体" w:eastAsia="宋体"/>
          <w:sz w:val="24"/>
        </w:rPr>
        <w:t>其中 \alpha 随地图障碍率 \rho 变化。当障碍率较低时，提高启发项权重以提升搜索效率；当障碍率较高时，降低启发项权重以避免过度贪心。本文采用对数映射实现自适应调节：</w:t>
      </w:r>
    </w:p>
    <w:p>
      <w:pPr>
        <w:jc w:val="center"/>
      </w:pPr>
      <w:r>
        <w:rPr>
          <w:rFonts w:ascii="Times New Roman" w:hAnsi="Times New Roman"/>
          <w:i/>
          <w:sz w:val="22"/>
        </w:rPr>
        <w:t>\alpha = \text{clip}(|\ln(\rho)|, 1.0, 1.8)</w:t>
      </w:r>
    </w:p>
    <w:p>
      <w:pPr>
        <w:ind w:firstLine="420"/>
      </w:pPr>
      <w:r>
        <w:rPr>
          <w:rFonts w:ascii="宋体" w:hAnsi="宋体" w:eastAsia="宋体"/>
          <w:sz w:val="24"/>
        </w:rPr>
        <w:t>其中 \rho 为地图障碍率（取值范围 [0.01, 0.99]），下界 1.0 保证了 \alpha \geq 1（即启发值不被缩小），上界 1.8 防止过度贪心。当 \alpha &gt; 1 时，算法为 \alpha-最优（即找到的路径代价不超过最优路径代价的 \alpha 倍），严格最优性不作保证。</w:t>
      </w:r>
    </w:p>
    <w:p>
      <w:pPr>
        <w:ind w:firstLine="420"/>
      </w:pPr>
      <w:r>
        <w:rPr>
          <w:rFonts w:ascii="宋体" w:hAnsi="宋体" w:eastAsia="宋体"/>
          <w:sz w:val="24"/>
        </w:rPr>
        <w:t>选择对数映射的依据在于：障碍率 \rho 在实际地图中通常分布在 [0.01, 0.5] 区间，|\ln(\rho)| 在低障碍率（如 \rho=0.05）时取值约 3.0，在高障碍率（如 \rho=0.4）时取值约 0.9，经 clip 截断后恰好落在 [1.0, 1.8] 范围内，符合"低障碍率→高权重→快速搜索，高障碍率→低权重→保守搜索"的设计直觉。上界 1.8 通过在验证集（5 张 DAO 地图）上对 \alpha \in \{1.2, 1.5, 1.8, 2.0, 2.5\} 进行参数搜索确定，\alpha=1.8 时在运行时间改善与路径质量之间取得最佳平衡；超过 2.0 时路径长度显著增加。</w:t>
      </w:r>
    </w:p>
    <w:p>
      <w:pPr>
        <w:pStyle w:val="Heading2"/>
      </w:pPr>
      <w:r>
        <w:t>3.5 两阶段路径平滑</w:t>
      </w:r>
    </w:p>
    <w:p>
      <w:pPr>
        <w:pStyle w:val="Heading3"/>
      </w:pPr>
      <w:r>
        <w:t>3.5.1 第一阶段：视线简化（冗余点删除）</w:t>
      </w:r>
    </w:p>
    <w:p>
      <w:pPr>
        <w:ind w:firstLine="420"/>
      </w:pPr>
      <w:r>
        <w:rPr>
          <w:rFonts w:ascii="宋体" w:hAnsi="宋体" w:eastAsia="宋体"/>
          <w:sz w:val="24"/>
        </w:rPr>
        <w:t>对回溯得到的离散路径执行视线检测简化：从锚点出发，沿路径逐点检查是否与后续点之间存在无障碍直线连接，若存在则跳过中间点。该步骤有效删除共线和可直连的冗余中间点，减少不必要拐点。</w:t>
      </w:r>
    </w:p>
    <w:p>
      <w:pPr>
        <w:pStyle w:val="Heading3"/>
      </w:pPr>
      <w:r>
        <w:t>3.5.2 第二阶段：拐角插值平滑</w:t>
      </w:r>
    </w:p>
    <w:p>
      <w:pPr>
        <w:ind w:firstLine="420"/>
      </w:pPr>
      <w:r>
        <w:rPr>
          <w:rFonts w:ascii="宋体" w:hAnsi="宋体" w:eastAsia="宋体"/>
          <w:sz w:val="24"/>
        </w:rPr>
        <w:t>在不与障碍碰撞的约束下，对剩余拐角进行加权平均重定位。对于路径中的连续三个点 (p_{i-1}, p_i, p_{i+1})，计算平滑后的新位置：</w:t>
      </w:r>
    </w:p>
    <w:p>
      <w:pPr>
        <w:jc w:val="center"/>
      </w:pPr>
      <w:r>
        <w:rPr>
          <w:rFonts w:ascii="Times New Roman" w:hAnsi="Times New Roman"/>
          <w:i/>
          <w:sz w:val="22"/>
        </w:rPr>
        <w:t>p'_i = \frac{p_{i-1} + 2p_i + p_{i+1}}{4}</w:t>
      </w:r>
    </w:p>
    <w:p>
      <w:pPr>
        <w:ind w:firstLine="420"/>
      </w:pPr>
      <w:r>
        <w:rPr>
          <w:rFonts w:ascii="宋体" w:hAnsi="宋体" w:eastAsia="宋体"/>
          <w:sz w:val="24"/>
        </w:rPr>
        <w:t>取整后检查新位置是否落在障碍物上或越界。若碰撞则保留原始拐角点，确保平滑后路径的物理合法性。</w:t>
      </w:r>
    </w:p>
    <w:p>
      <w:pPr>
        <w:pStyle w:val="Heading2"/>
      </w:pPr>
      <w:r>
        <w:t>3.6 算法伪代码</w:t>
      </w:r>
    </w:p>
    <w:p>
      <w:pPr>
        <w:ind w:left="567"/>
      </w:pPr>
      <w:r>
        <w:rPr>
          <w:rFonts w:ascii="Consolas" w:hAnsi="Consolas"/>
          <w:sz w:val="18"/>
        </w:rPr>
        <w:t>Input: grid_map, start, goal</w:t>
        <w:br/>
      </w:r>
      <w:r>
        <w:rPr>
          <w:rFonts w:ascii="Consolas" w:hAnsi="Consolas"/>
          <w:sz w:val="18"/>
        </w:rPr>
        <w:t>Output: smoothed_path</w:t>
        <w:br/>
      </w:r>
      <w:r>
        <w:rPr>
          <w:rFonts w:ascii="Consolas" w:hAnsi="Consolas"/>
          <w:sz w:val="18"/>
        </w:rPr>
        <w:br/>
      </w:r>
      <w:r>
        <w:rPr>
          <w:rFonts w:ascii="Consolas" w:hAnsi="Consolas"/>
          <w:sz w:val="18"/>
        </w:rPr>
        <w:t>1:  alpha ← clip(|ln(obstacle_ratio(grid_map))|, 1.0, 1.8)</w:t>
        <w:br/>
      </w:r>
      <w:r>
        <w:rPr>
          <w:rFonts w:ascii="Consolas" w:hAnsi="Consolas"/>
          <w:sz w:val="18"/>
        </w:rPr>
        <w:t>2:  init OpenList, ClosedSet</w:t>
        <w:br/>
      </w:r>
      <w:r>
        <w:rPr>
          <w:rFonts w:ascii="Consolas" w:hAnsi="Consolas"/>
          <w:sz w:val="18"/>
        </w:rPr>
        <w:t>3:  while OpenList not empty:</w:t>
        <w:br/>
      </w:r>
      <w:r>
        <w:rPr>
          <w:rFonts w:ascii="Consolas" w:hAnsi="Consolas"/>
          <w:sz w:val="18"/>
        </w:rPr>
        <w:t>4:      n ← pop node with min f</w:t>
        <w:br/>
      </w:r>
      <w:r>
        <w:rPr>
          <w:rFonts w:ascii="Consolas" w:hAnsi="Consolas"/>
          <w:sz w:val="18"/>
        </w:rPr>
        <w:t>5:      if n == goal: break</w:t>
        <w:br/>
      </w:r>
      <w:r>
        <w:rPr>
          <w:rFonts w:ascii="Consolas" w:hAnsi="Consolas"/>
          <w:sz w:val="18"/>
        </w:rPr>
        <w:t>6:      for each neighbor m in neighbors8(n):</w:t>
        <w:br/>
      </w:r>
      <w:r>
        <w:rPr>
          <w:rFonts w:ascii="Consolas" w:hAnsi="Consolas"/>
          <w:sz w:val="18"/>
        </w:rPr>
        <w:t>7:          h ← octile_distance(m, goal)</w:t>
        <w:br/>
      </w:r>
      <w:r>
        <w:rPr>
          <w:rFonts w:ascii="Consolas" w:hAnsi="Consolas"/>
          <w:sz w:val="18"/>
        </w:rPr>
        <w:t>8:          f(m) ← g(m) + alpha × h</w:t>
        <w:br/>
      </w:r>
      <w:r>
        <w:rPr>
          <w:rFonts w:ascii="Consolas" w:hAnsi="Consolas"/>
          <w:sz w:val="18"/>
        </w:rPr>
        <w:t>9:          update OpenList</w:t>
        <w:br/>
      </w:r>
      <w:r>
        <w:rPr>
          <w:rFonts w:ascii="Consolas" w:hAnsi="Consolas"/>
          <w:sz w:val="18"/>
        </w:rPr>
        <w:t>10: path ← backtrack(goal)</w:t>
        <w:br/>
      </w:r>
      <w:r>
        <w:rPr>
          <w:rFonts w:ascii="Consolas" w:hAnsi="Consolas"/>
          <w:sz w:val="18"/>
        </w:rPr>
        <w:t>11: path1 ← line_of_sight_simplify(path, grid_map)</w:t>
        <w:br/>
      </w:r>
      <w:r>
        <w:rPr>
          <w:rFonts w:ascii="Consolas" w:hAnsi="Consolas"/>
          <w:sz w:val="18"/>
        </w:rPr>
        <w:t>12: path2 ← smooth_corners(path1, grid_map)</w:t>
        <w:br/>
      </w:r>
      <w:r>
        <w:rPr>
          <w:rFonts w:ascii="Consolas" w:hAnsi="Consolas"/>
          <w:sz w:val="18"/>
        </w:rPr>
        <w:t>13: return path2</w:t>
        <w:br/>
      </w:r>
    </w:p>
    <w:p>
      <w:pPr>
        <w:pStyle w:val="Heading1"/>
      </w:pPr>
      <w:r>
        <w:t>实验设计</w:t>
      </w:r>
    </w:p>
    <w:p>
      <w:pPr>
        <w:pStyle w:val="Heading2"/>
      </w:pPr>
      <w:r>
        <w:t>4.1 实验目标</w:t>
      </w:r>
    </w:p>
    <w:p>
      <w:pPr>
        <w:ind w:firstLine="420"/>
      </w:pPr>
      <w:r>
        <w:rPr>
          <w:rFonts w:ascii="宋体" w:hAnsi="宋体" w:eastAsia="宋体"/>
          <w:sz w:val="24"/>
        </w:rPr>
        <w:t>验证改进 A*（Octile + 自适应权重 + 两阶段平滑）在不同类型真实地图上，相对传统算法在路径长度、转弯次数和规划时间方面的综合优势。</w:t>
      </w:r>
    </w:p>
    <w:p>
      <w:pPr>
        <w:pStyle w:val="Heading2"/>
      </w:pPr>
      <w:r>
        <w:t>4.2 实验平台</w:t>
      </w:r>
    </w:p>
    <w:p>
      <w:pPr>
        <w:pStyle w:val="ListBullet"/>
      </w:pPr>
      <w:r>
        <w:rPr>
          <w:rFonts w:ascii="宋体" w:hAnsi="宋体" w:eastAsia="宋体"/>
          <w:sz w:val="24"/>
        </w:rPr>
        <w:t>编程语言：Python 3.x</w:t>
      </w:r>
    </w:p>
    <w:p>
      <w:pPr>
        <w:pStyle w:val="ListBullet"/>
      </w:pPr>
      <w:r>
        <w:rPr>
          <w:rFonts w:ascii="宋体" w:hAnsi="宋体" w:eastAsia="宋体"/>
          <w:sz w:val="24"/>
        </w:rPr>
        <w:t>主要库：NumPy、Matplotlib</w:t>
      </w:r>
    </w:p>
    <w:p>
      <w:pPr>
        <w:pStyle w:val="ListBullet"/>
      </w:pPr>
      <w:r>
        <w:rPr>
          <w:rFonts w:ascii="宋体" w:hAnsi="宋体" w:eastAsia="宋体"/>
          <w:sz w:val="24"/>
        </w:rPr>
        <w:t>实验脚本：code/experiments/run_fix15_v3.py（唯一权威脚本）</w:t>
      </w:r>
    </w:p>
    <w:p>
      <w:pPr>
        <w:pStyle w:val="Heading2"/>
      </w:pPr>
      <w:r>
        <w:t>4.3 对比算法</w:t>
      </w:r>
    </w:p>
    <w:tbl>
      <w:tblPr>
        <w:tblStyle w:val="TableGrid"/>
        <w:tblW w:type="auto" w:w="0"/>
        <w:jc w:val="center"/>
        <w:tblLook w:firstColumn="1" w:firstRow="1" w:lastColumn="0" w:lastRow="0" w:noHBand="0" w:noVBand="1" w:val="04A0"/>
      </w:tblPr>
      <w:tblGrid>
        <w:gridCol w:w="4536"/>
        <w:gridCol w:w="4536"/>
      </w:tblGrid>
      <w:tr>
        <w:tc>
          <w:tcPr>
            <w:tcW w:type="dxa" w:w="4536"/>
          </w:tcPr>
          <w:p>
            <w:pPr>
              <w:jc w:val="center"/>
            </w:pPr>
            <w:r/>
            <w:r>
              <w:rPr>
                <w:rFonts w:ascii="宋体" w:hAnsi="宋体" w:eastAsia="宋体"/>
                <w:b/>
                <w:sz w:val="20"/>
              </w:rPr>
              <w:t>算法</w:t>
            </w:r>
          </w:p>
        </w:tc>
        <w:tc>
          <w:tcPr>
            <w:tcW w:type="dxa" w:w="4536"/>
          </w:tcPr>
          <w:p>
            <w:pPr>
              <w:jc w:val="center"/>
            </w:pPr>
            <w:r/>
            <w:r>
              <w:rPr>
                <w:rFonts w:ascii="宋体" w:hAnsi="宋体" w:eastAsia="宋体"/>
                <w:b/>
                <w:sz w:val="20"/>
              </w:rPr>
              <w:t>说明</w:t>
            </w:r>
          </w:p>
        </w:tc>
      </w:tr>
      <w:tr>
        <w:tc>
          <w:tcPr>
            <w:tcW w:type="dxa" w:w="4536"/>
          </w:tcPr>
          <w:p>
            <w:pPr>
              <w:jc w:val="center"/>
            </w:pPr>
            <w:r/>
            <w:r>
              <w:rPr>
                <w:rFonts w:ascii="宋体" w:hAnsi="宋体" w:eastAsia="宋体"/>
                <w:sz w:val="20"/>
              </w:rPr>
              <w:t>Dijkstra</w:t>
            </w:r>
          </w:p>
        </w:tc>
        <w:tc>
          <w:tcPr>
            <w:tcW w:type="dxa" w:w="4536"/>
          </w:tcPr>
          <w:p>
            <w:pPr>
              <w:jc w:val="center"/>
            </w:pPr>
            <w:r/>
            <w:r>
              <w:rPr>
                <w:rFonts w:ascii="宋体" w:hAnsi="宋体" w:eastAsia="宋体"/>
                <w:sz w:val="20"/>
              </w:rPr>
              <w:t>无启发函数的基线算法</w:t>
            </w:r>
          </w:p>
        </w:tc>
      </w:tr>
      <w:tr>
        <w:tc>
          <w:tcPr>
            <w:tcW w:type="dxa" w:w="4536"/>
          </w:tcPr>
          <w:p>
            <w:pPr>
              <w:jc w:val="center"/>
            </w:pPr>
            <w:r/>
            <w:r>
              <w:rPr>
                <w:rFonts w:ascii="宋体" w:hAnsi="宋体" w:eastAsia="宋体"/>
                <w:sz w:val="20"/>
              </w:rPr>
              <w:t>传统 A*</w:t>
            </w:r>
          </w:p>
        </w:tc>
        <w:tc>
          <w:tcPr>
            <w:tcW w:type="dxa" w:w="4536"/>
          </w:tcPr>
          <w:p>
            <w:pPr>
              <w:jc w:val="center"/>
            </w:pPr>
            <w:r/>
            <w:r>
              <w:rPr>
                <w:rFonts w:ascii="宋体" w:hAnsi="宋体" w:eastAsia="宋体"/>
                <w:sz w:val="20"/>
              </w:rPr>
              <w:t>Octile 启发函数，\alpha = 1.0</w:t>
            </w:r>
          </w:p>
        </w:tc>
      </w:tr>
      <w:tr>
        <w:tc>
          <w:tcPr>
            <w:tcW w:type="dxa" w:w="4536"/>
          </w:tcPr>
          <w:p>
            <w:pPr>
              <w:jc w:val="center"/>
            </w:pPr>
            <w:r/>
            <w:r>
              <w:rPr>
                <w:rFonts w:ascii="宋体" w:hAnsi="宋体" w:eastAsia="宋体"/>
                <w:sz w:val="20"/>
              </w:rPr>
              <w:t>加权 A*（固定 \alpha = 1.2）</w:t>
            </w:r>
          </w:p>
        </w:tc>
        <w:tc>
          <w:tcPr>
            <w:tcW w:type="dxa" w:w="4536"/>
          </w:tcPr>
          <w:p>
            <w:pPr>
              <w:jc w:val="center"/>
            </w:pPr>
            <w:r/>
            <w:r>
              <w:rPr>
                <w:rFonts w:ascii="宋体" w:hAnsi="宋体" w:eastAsia="宋体"/>
                <w:sz w:val="20"/>
              </w:rPr>
              <w:t>固定权重，无路径平滑</w:t>
            </w:r>
          </w:p>
        </w:tc>
      </w:tr>
      <w:tr>
        <w:tc>
          <w:tcPr>
            <w:tcW w:type="dxa" w:w="4536"/>
          </w:tcPr>
          <w:p>
            <w:pPr>
              <w:jc w:val="center"/>
            </w:pPr>
            <w:r/>
            <w:r>
              <w:rPr>
                <w:rFonts w:ascii="宋体" w:hAnsi="宋体" w:eastAsia="宋体"/>
                <w:sz w:val="20"/>
              </w:rPr>
              <w:t>改进 A*（本文）</w:t>
            </w:r>
          </w:p>
        </w:tc>
        <w:tc>
          <w:tcPr>
            <w:tcW w:type="dxa" w:w="4536"/>
          </w:tcPr>
          <w:p>
            <w:pPr>
              <w:jc w:val="center"/>
            </w:pPr>
            <w:r/>
            <w:r>
              <w:rPr>
                <w:rFonts w:ascii="宋体" w:hAnsi="宋体" w:eastAsia="宋体"/>
                <w:sz w:val="20"/>
              </w:rPr>
              <w:t>自适应权重 + 两阶段平滑</w:t>
            </w:r>
          </w:p>
        </w:tc>
      </w:tr>
    </w:tbl>
    <w:p/>
    <w:p>
      <w:pPr>
        <w:pStyle w:val="Heading2"/>
      </w:pPr>
      <w:r>
        <w:t>4.4 测试场景</w:t>
      </w:r>
    </w:p>
    <w:p>
      <w:pPr>
        <w:ind w:firstLine="420"/>
      </w:pPr>
      <w:r>
        <w:rPr>
          <w:rFonts w:ascii="宋体" w:hAnsi="宋体" w:eastAsia="宋体"/>
          <w:sz w:val="24"/>
        </w:rPr>
        <w:t>采用 Moving AI Lab 标准基准地图集[4]中的 15 张真实地图：</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ascii="宋体" w:hAnsi="宋体" w:eastAsia="宋体"/>
                <w:b/>
                <w:sz w:val="20"/>
              </w:rPr>
              <w:t>地图类型</w:t>
            </w:r>
          </w:p>
        </w:tc>
        <w:tc>
          <w:tcPr>
            <w:tcW w:type="dxa" w:w="3024"/>
          </w:tcPr>
          <w:p>
            <w:pPr>
              <w:jc w:val="center"/>
            </w:pPr>
            <w:r/>
            <w:r>
              <w:rPr>
                <w:rFonts w:ascii="宋体" w:hAnsi="宋体" w:eastAsia="宋体"/>
                <w:b/>
                <w:sz w:val="20"/>
              </w:rPr>
              <w:t>数量</w:t>
            </w:r>
          </w:p>
        </w:tc>
        <w:tc>
          <w:tcPr>
            <w:tcW w:type="dxa" w:w="3024"/>
          </w:tcPr>
          <w:p>
            <w:pPr>
              <w:jc w:val="center"/>
            </w:pPr>
            <w:r/>
            <w:r>
              <w:rPr>
                <w:rFonts w:ascii="宋体" w:hAnsi="宋体" w:eastAsia="宋体"/>
                <w:b/>
                <w:sz w:val="20"/>
              </w:rPr>
              <w:t>代表地图</w:t>
            </w:r>
          </w:p>
        </w:tc>
      </w:tr>
      <w:tr>
        <w:tc>
          <w:tcPr>
            <w:tcW w:type="dxa" w:w="3024"/>
          </w:tcPr>
          <w:p>
            <w:pPr>
              <w:jc w:val="center"/>
            </w:pPr>
            <w:r/>
            <w:r>
              <w:rPr>
                <w:rFonts w:ascii="宋体" w:hAnsi="宋体" w:eastAsia="宋体"/>
                <w:sz w:val="20"/>
              </w:rPr>
              <w:t>DAO 游戏地图</w:t>
            </w:r>
          </w:p>
        </w:tc>
        <w:tc>
          <w:tcPr>
            <w:tcW w:type="dxa" w:w="3024"/>
          </w:tcPr>
          <w:p>
            <w:pPr>
              <w:jc w:val="center"/>
            </w:pPr>
            <w:r/>
            <w:r>
              <w:rPr>
                <w:rFonts w:ascii="宋体" w:hAnsi="宋体" w:eastAsia="宋体"/>
                <w:sz w:val="20"/>
              </w:rPr>
              <w:t>5</w:t>
            </w:r>
          </w:p>
        </w:tc>
        <w:tc>
          <w:tcPr>
            <w:tcW w:type="dxa" w:w="3024"/>
          </w:tcPr>
          <w:p>
            <w:pPr>
              <w:jc w:val="center"/>
            </w:pPr>
            <w:r/>
            <w:r>
              <w:rPr>
                <w:rFonts w:ascii="宋体" w:hAnsi="宋体" w:eastAsia="宋体"/>
                <w:sz w:val="20"/>
              </w:rPr>
              <w:t>arena, arena2, brc000d, brc100d, brc101d</w:t>
            </w:r>
          </w:p>
        </w:tc>
      </w:tr>
      <w:tr>
        <w:tc>
          <w:tcPr>
            <w:tcW w:type="dxa" w:w="3024"/>
          </w:tcPr>
          <w:p>
            <w:pPr>
              <w:jc w:val="center"/>
            </w:pPr>
            <w:r/>
            <w:r>
              <w:rPr>
                <w:rFonts w:ascii="宋体" w:hAnsi="宋体" w:eastAsia="宋体"/>
                <w:sz w:val="20"/>
              </w:rPr>
              <w:t>Street 城市地图</w:t>
            </w:r>
          </w:p>
        </w:tc>
        <w:tc>
          <w:tcPr>
            <w:tcW w:type="dxa" w:w="3024"/>
          </w:tcPr>
          <w:p>
            <w:pPr>
              <w:jc w:val="center"/>
            </w:pPr>
            <w:r/>
            <w:r>
              <w:rPr>
                <w:rFonts w:ascii="宋体" w:hAnsi="宋体" w:eastAsia="宋体"/>
                <w:sz w:val="20"/>
              </w:rPr>
              <w:t>5</w:t>
            </w:r>
          </w:p>
        </w:tc>
        <w:tc>
          <w:tcPr>
            <w:tcW w:type="dxa" w:w="3024"/>
          </w:tcPr>
          <w:p>
            <w:pPr>
              <w:jc w:val="center"/>
            </w:pPr>
            <w:r/>
            <w:r>
              <w:rPr>
                <w:rFonts w:ascii="宋体" w:hAnsi="宋体" w:eastAsia="宋体"/>
                <w:sz w:val="20"/>
              </w:rPr>
              <w:t>Berlin_0_256, Berlin_0_512, Berlin_0_1024, Berlin_1_256, Berlin_1_1024</w:t>
            </w:r>
          </w:p>
        </w:tc>
      </w:tr>
      <w:tr>
        <w:tc>
          <w:tcPr>
            <w:tcW w:type="dxa" w:w="3024"/>
          </w:tcPr>
          <w:p>
            <w:pPr>
              <w:jc w:val="center"/>
            </w:pPr>
            <w:r/>
            <w:r>
              <w:rPr>
                <w:rFonts w:ascii="宋体" w:hAnsi="宋体" w:eastAsia="宋体"/>
                <w:sz w:val="20"/>
              </w:rPr>
              <w:t>WC3 魔兽地图</w:t>
            </w:r>
          </w:p>
        </w:tc>
        <w:tc>
          <w:tcPr>
            <w:tcW w:type="dxa" w:w="3024"/>
          </w:tcPr>
          <w:p>
            <w:pPr>
              <w:jc w:val="center"/>
            </w:pPr>
            <w:r/>
            <w:r>
              <w:rPr>
                <w:rFonts w:ascii="宋体" w:hAnsi="宋体" w:eastAsia="宋体"/>
                <w:sz w:val="20"/>
              </w:rPr>
              <w:t>5</w:t>
            </w:r>
          </w:p>
        </w:tc>
        <w:tc>
          <w:tcPr>
            <w:tcW w:type="dxa" w:w="3024"/>
          </w:tcPr>
          <w:p>
            <w:pPr>
              <w:jc w:val="center"/>
            </w:pPr>
            <w:r/>
            <w:r>
              <w:rPr>
                <w:rFonts w:ascii="宋体" w:hAnsi="宋体" w:eastAsia="宋体"/>
                <w:sz w:val="20"/>
              </w:rPr>
              <w:t>battleground, blastedlands, bloodvenomfalls, bootybay, darkforest</w:t>
            </w:r>
          </w:p>
        </w:tc>
      </w:tr>
    </w:tbl>
    <w:p/>
    <w:p>
      <w:pPr>
        <w:ind w:firstLine="420"/>
      </w:pPr>
      <w:r>
        <w:rPr>
          <w:rFonts w:ascii="宋体" w:hAnsi="宋体" w:eastAsia="宋体"/>
          <w:sz w:val="24"/>
        </w:rPr>
        <w:t>起终点由 Moving AI 官方 .scen 文件指定（strict scen 口径），每张地图取前 30 条可解任务，确保实验结果完全可复现。</w:t>
      </w:r>
    </w:p>
    <w:p>
      <w:pPr>
        <w:pStyle w:val="Heading2"/>
      </w:pPr>
      <w:r>
        <w:t>4.5 评价指标</w:t>
      </w:r>
    </w:p>
    <w:tbl>
      <w:tblPr>
        <w:tblStyle w:val="TableGrid"/>
        <w:tblW w:type="auto" w:w="0"/>
        <w:jc w:val="center"/>
        <w:tblLook w:firstColumn="1" w:firstRow="1" w:lastColumn="0" w:lastRow="0" w:noHBand="0" w:noVBand="1" w:val="04A0"/>
      </w:tblPr>
      <w:tblGrid>
        <w:gridCol w:w="4536"/>
        <w:gridCol w:w="4536"/>
      </w:tblGrid>
      <w:tr>
        <w:tc>
          <w:tcPr>
            <w:tcW w:type="dxa" w:w="4536"/>
          </w:tcPr>
          <w:p>
            <w:pPr>
              <w:jc w:val="center"/>
            </w:pPr>
            <w:r/>
            <w:r>
              <w:rPr>
                <w:rFonts w:ascii="宋体" w:hAnsi="宋体" w:eastAsia="宋体"/>
                <w:b/>
                <w:sz w:val="20"/>
              </w:rPr>
              <w:t>指标</w:t>
            </w:r>
          </w:p>
        </w:tc>
        <w:tc>
          <w:tcPr>
            <w:tcW w:type="dxa" w:w="4536"/>
          </w:tcPr>
          <w:p>
            <w:pPr>
              <w:jc w:val="center"/>
            </w:pPr>
            <w:r/>
            <w:r>
              <w:rPr>
                <w:rFonts w:ascii="宋体" w:hAnsi="宋体" w:eastAsia="宋体"/>
                <w:b/>
                <w:sz w:val="20"/>
              </w:rPr>
              <w:t>说明</w:t>
            </w:r>
          </w:p>
        </w:tc>
      </w:tr>
      <w:tr>
        <w:tc>
          <w:tcPr>
            <w:tcW w:type="dxa" w:w="4536"/>
          </w:tcPr>
          <w:p>
            <w:pPr>
              <w:jc w:val="center"/>
            </w:pPr>
            <w:r/>
            <w:r>
              <w:rPr>
                <w:rFonts w:ascii="宋体" w:hAnsi="宋体" w:eastAsia="宋体"/>
                <w:sz w:val="20"/>
              </w:rPr>
              <w:t>运行时间（ms）</w:t>
            </w:r>
          </w:p>
        </w:tc>
        <w:tc>
          <w:tcPr>
            <w:tcW w:type="dxa" w:w="4536"/>
          </w:tcPr>
          <w:p>
            <w:pPr>
              <w:jc w:val="center"/>
            </w:pPr>
            <w:r/>
            <w:r>
              <w:rPr>
                <w:rFonts w:ascii="宋体" w:hAnsi="宋体" w:eastAsia="宋体"/>
                <w:sz w:val="20"/>
              </w:rPr>
              <w:t>从搜索开始到路径输出的总耗时</w:t>
            </w:r>
          </w:p>
        </w:tc>
      </w:tr>
      <w:tr>
        <w:tc>
          <w:tcPr>
            <w:tcW w:type="dxa" w:w="4536"/>
          </w:tcPr>
          <w:p>
            <w:pPr>
              <w:jc w:val="center"/>
            </w:pPr>
            <w:r/>
            <w:r>
              <w:rPr>
                <w:rFonts w:ascii="宋体" w:hAnsi="宋体" w:eastAsia="宋体"/>
                <w:sz w:val="20"/>
              </w:rPr>
              <w:t>路径长度</w:t>
            </w:r>
          </w:p>
        </w:tc>
        <w:tc>
          <w:tcPr>
            <w:tcW w:type="dxa" w:w="4536"/>
          </w:tcPr>
          <w:p>
            <w:pPr>
              <w:jc w:val="center"/>
            </w:pPr>
            <w:r/>
            <w:r>
              <w:rPr>
                <w:rFonts w:ascii="宋体" w:hAnsi="宋体" w:eastAsia="宋体"/>
                <w:sz w:val="20"/>
              </w:rPr>
              <w:t>路径各段欧氏距离之和</w:t>
            </w:r>
          </w:p>
        </w:tc>
      </w:tr>
      <w:tr>
        <w:tc>
          <w:tcPr>
            <w:tcW w:type="dxa" w:w="4536"/>
          </w:tcPr>
          <w:p>
            <w:pPr>
              <w:jc w:val="center"/>
            </w:pPr>
            <w:r/>
            <w:r>
              <w:rPr>
                <w:rFonts w:ascii="宋体" w:hAnsi="宋体" w:eastAsia="宋体"/>
                <w:sz w:val="20"/>
              </w:rPr>
              <w:t>转弯次数</w:t>
            </w:r>
          </w:p>
        </w:tc>
        <w:tc>
          <w:tcPr>
            <w:tcW w:type="dxa" w:w="4536"/>
          </w:tcPr>
          <w:p>
            <w:pPr>
              <w:jc w:val="center"/>
            </w:pPr>
            <w:r/>
            <w:r>
              <w:rPr>
                <w:rFonts w:ascii="宋体" w:hAnsi="宋体" w:eastAsia="宋体"/>
                <w:sz w:val="20"/>
              </w:rPr>
              <w:t>路径中方向发生变化的次数</w:t>
            </w:r>
          </w:p>
        </w:tc>
      </w:tr>
      <w:tr>
        <w:tc>
          <w:tcPr>
            <w:tcW w:type="dxa" w:w="4536"/>
          </w:tcPr>
          <w:p>
            <w:pPr>
              <w:jc w:val="center"/>
            </w:pPr>
            <w:r/>
            <w:r>
              <w:rPr>
                <w:rFonts w:ascii="宋体" w:hAnsi="宋体" w:eastAsia="宋体"/>
                <w:sz w:val="20"/>
              </w:rPr>
              <w:t>扩展节点数</w:t>
            </w:r>
          </w:p>
        </w:tc>
        <w:tc>
          <w:tcPr>
            <w:tcW w:type="dxa" w:w="4536"/>
          </w:tcPr>
          <w:p>
            <w:pPr>
              <w:jc w:val="center"/>
            </w:pPr>
            <w:r/>
            <w:r>
              <w:rPr>
                <w:rFonts w:ascii="宋体" w:hAnsi="宋体" w:eastAsia="宋体"/>
                <w:sz w:val="20"/>
              </w:rPr>
              <w:t>搜索过程中被扩展的节点总数</w:t>
            </w:r>
          </w:p>
        </w:tc>
      </w:tr>
    </w:tbl>
    <w:p/>
    <w:p>
      <w:pPr>
        <w:pStyle w:val="Heading2"/>
      </w:pPr>
      <w:r>
        <w:t>4.6 消融实验设计</w:t>
      </w:r>
    </w:p>
    <w:p>
      <w:pPr>
        <w:ind w:firstLine="420"/>
      </w:pPr>
      <w:r>
        <w:rPr>
          <w:rFonts w:ascii="宋体" w:hAnsi="宋体" w:eastAsia="宋体"/>
          <w:sz w:val="24"/>
        </w:rPr>
        <w:t>为验证各模块贡献，设置两组消融：</w:t>
      </w:r>
    </w:p>
    <w:tbl>
      <w:tblPr>
        <w:tblStyle w:val="TableGrid"/>
        <w:tblW w:type="auto" w:w="0"/>
        <w:jc w:val="center"/>
        <w:tblLook w:firstColumn="1" w:firstRow="1" w:lastColumn="0" w:lastRow="0" w:noHBand="0" w:noVBand="1" w:val="04A0"/>
      </w:tblPr>
      <w:tblGrid>
        <w:gridCol w:w="4536"/>
        <w:gridCol w:w="4536"/>
      </w:tblGrid>
      <w:tr>
        <w:tc>
          <w:tcPr>
            <w:tcW w:type="dxa" w:w="4536"/>
          </w:tcPr>
          <w:p>
            <w:pPr>
              <w:jc w:val="center"/>
            </w:pPr>
            <w:r/>
            <w:r>
              <w:rPr>
                <w:rFonts w:ascii="宋体" w:hAnsi="宋体" w:eastAsia="宋体"/>
                <w:b/>
                <w:sz w:val="20"/>
              </w:rPr>
              <w:t>消融组</w:t>
            </w:r>
          </w:p>
        </w:tc>
        <w:tc>
          <w:tcPr>
            <w:tcW w:type="dxa" w:w="4536"/>
          </w:tcPr>
          <w:p>
            <w:pPr>
              <w:jc w:val="center"/>
            </w:pPr>
            <w:r/>
            <w:r>
              <w:rPr>
                <w:rFonts w:ascii="宋体" w:hAnsi="宋体" w:eastAsia="宋体"/>
                <w:b/>
                <w:sz w:val="20"/>
              </w:rPr>
              <w:t>配置</w:t>
            </w:r>
          </w:p>
        </w:tc>
      </w:tr>
      <w:tr>
        <w:tc>
          <w:tcPr>
            <w:tcW w:type="dxa" w:w="4536"/>
          </w:tcPr>
          <w:p>
            <w:pPr>
              <w:jc w:val="center"/>
            </w:pPr>
            <w:r/>
            <w:r>
              <w:rPr>
                <w:rFonts w:ascii="宋体" w:hAnsi="宋体" w:eastAsia="宋体"/>
                <w:sz w:val="20"/>
              </w:rPr>
              <w:t>无自适应权重</w:t>
            </w:r>
          </w:p>
        </w:tc>
        <w:tc>
          <w:tcPr>
            <w:tcW w:type="dxa" w:w="4536"/>
          </w:tcPr>
          <w:p>
            <w:pPr>
              <w:jc w:val="center"/>
            </w:pPr>
            <w:r/>
            <w:r>
              <w:rPr>
                <w:rFonts w:ascii="宋体" w:hAnsi="宋体" w:eastAsia="宋体"/>
                <w:sz w:val="20"/>
              </w:rPr>
              <w:t>固定 \alpha = 1.0（标准 A*）+ 两阶段平滑</w:t>
            </w:r>
          </w:p>
        </w:tc>
      </w:tr>
      <w:tr>
        <w:tc>
          <w:tcPr>
            <w:tcW w:type="dxa" w:w="4536"/>
          </w:tcPr>
          <w:p>
            <w:pPr>
              <w:jc w:val="center"/>
            </w:pPr>
            <w:r/>
            <w:r>
              <w:rPr>
                <w:rFonts w:ascii="宋体" w:hAnsi="宋体" w:eastAsia="宋体"/>
                <w:sz w:val="20"/>
              </w:rPr>
              <w:t>无路径平滑</w:t>
            </w:r>
          </w:p>
        </w:tc>
        <w:tc>
          <w:tcPr>
            <w:tcW w:type="dxa" w:w="4536"/>
          </w:tcPr>
          <w:p>
            <w:pPr>
              <w:jc w:val="center"/>
            </w:pPr>
            <w:r/>
            <w:r>
              <w:rPr>
                <w:rFonts w:ascii="宋体" w:hAnsi="宋体" w:eastAsia="宋体"/>
                <w:sz w:val="20"/>
              </w:rPr>
              <w:t>自适应权重 + 无后处理</w:t>
            </w:r>
          </w:p>
        </w:tc>
      </w:tr>
    </w:tbl>
    <w:p/>
    <w:p>
      <w:pPr>
        <w:ind w:firstLine="420"/>
      </w:pPr>
      <w:r>
        <w:rPr>
          <w:rFonts w:ascii="宋体" w:hAnsi="宋体" w:eastAsia="宋体"/>
          <w:sz w:val="24"/>
        </w:rPr>
        <w:t>消融实验与完整模型共享同一批地图和 .scen 任务。</w:t>
      </w:r>
    </w:p>
    <w:p>
      <w:pPr>
        <w:pStyle w:val="Heading3"/>
      </w:pPr>
      <w:r>
        <w:t>4.7 统计分析方法</w:t>
      </w:r>
    </w:p>
    <w:p>
      <w:pPr>
        <w:ind w:firstLine="420"/>
      </w:pPr>
      <w:r>
        <w:rPr>
          <w:rFonts w:ascii="宋体" w:hAnsi="宋体" w:eastAsia="宋体"/>
          <w:sz w:val="24"/>
        </w:rPr>
        <w:t>所有指标报告均值 ± 标准差，标准差基于 15 张地图的跨图波动计算。共 15 张地图 × 30 次 = 450 组有效测试；含 4 种算法共 1800 条记录，加消融组共 2700 条。</w:t>
      </w:r>
    </w:p>
    <w:p>
      <w:pPr>
        <w:ind w:firstLine="420"/>
      </w:pPr>
      <w:r>
        <w:rPr>
          <w:rFonts w:ascii="宋体" w:hAnsi="宋体" w:eastAsia="宋体"/>
          <w:sz w:val="24"/>
        </w:rPr>
        <w:t>对改进 A* 与传统 A* 在运行时间、路径长度、转弯次数三项指标上的差异，采用 Wilcoxon 符号秩检验（Wilcoxon signed-rank test）进行统计显著性分析，以 15 张地图的均值作为配对样本。针对三项指标的多重比较，采用 Benjamini-Hochberg 假发现率（BH-FDR）方法进行校正，控制假发现率 q &lt; 0.05。检验结果见第 5.2.3 节。</w:t>
      </w:r>
    </w:p>
    <w:p>
      <w:pPr>
        <w:pStyle w:val="Heading1"/>
      </w:pPr>
      <w:r>
        <w:t>实验结果与讨论</w:t>
      </w:r>
    </w:p>
    <w:p>
      <w:pPr>
        <w:pStyle w:val="Heading2"/>
      </w:pPr>
      <w:r>
        <w:t>5.1 实验结果总览</w:t>
      </w:r>
    </w:p>
    <w:p>
      <w:pPr>
        <w:ind w:firstLine="420"/>
      </w:pPr>
      <w:r>
        <w:rPr>
          <w:rFonts w:ascii="宋体" w:hAnsi="宋体" w:eastAsia="宋体"/>
          <w:sz w:val="24"/>
        </w:rPr>
        <w:t>表 5-1 各算法全局平均性能（15 张地图，每图 30 次，共 450 次测试，数值为均值 ± 标准差）</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sz w:val="20"/>
              </w:rPr>
              <w:t>算法</w:t>
            </w:r>
          </w:p>
        </w:tc>
        <w:tc>
          <w:tcPr>
            <w:tcW w:type="dxa" w:w="1814"/>
          </w:tcPr>
          <w:p>
            <w:pPr>
              <w:jc w:val="center"/>
            </w:pPr>
            <w:r/>
            <w:r>
              <w:rPr>
                <w:rFonts w:ascii="宋体" w:hAnsi="宋体" w:eastAsia="宋体"/>
                <w:b/>
                <w:sz w:val="20"/>
              </w:rPr>
              <w:t>平均运行时间 (ms)</w:t>
            </w:r>
          </w:p>
        </w:tc>
        <w:tc>
          <w:tcPr>
            <w:tcW w:type="dxa" w:w="1814"/>
          </w:tcPr>
          <w:p>
            <w:pPr>
              <w:jc w:val="center"/>
            </w:pPr>
            <w:r/>
            <w:r>
              <w:rPr>
                <w:rFonts w:ascii="宋体" w:hAnsi="宋体" w:eastAsia="宋体"/>
                <w:b/>
                <w:sz w:val="20"/>
              </w:rPr>
              <w:t>平均路径长度</w:t>
            </w:r>
          </w:p>
        </w:tc>
        <w:tc>
          <w:tcPr>
            <w:tcW w:type="dxa" w:w="1814"/>
          </w:tcPr>
          <w:p>
            <w:pPr>
              <w:jc w:val="center"/>
            </w:pPr>
            <w:r/>
            <w:r>
              <w:rPr>
                <w:rFonts w:ascii="宋体" w:hAnsi="宋体" w:eastAsia="宋体"/>
                <w:b/>
                <w:sz w:val="20"/>
              </w:rPr>
              <w:t>平均转弯次数</w:t>
            </w:r>
          </w:p>
        </w:tc>
        <w:tc>
          <w:tcPr>
            <w:tcW w:type="dxa" w:w="1814"/>
          </w:tcPr>
          <w:p>
            <w:pPr>
              <w:jc w:val="center"/>
            </w:pPr>
            <w:r/>
            <w:r>
              <w:rPr>
                <w:rFonts w:ascii="宋体" w:hAnsi="宋体" w:eastAsia="宋体"/>
                <w:b/>
                <w:sz w:val="20"/>
              </w:rPr>
              <w:t>平均扩展节点数</w:t>
            </w:r>
          </w:p>
        </w:tc>
      </w:tr>
      <w:tr>
        <w:tc>
          <w:tcPr>
            <w:tcW w:type="dxa" w:w="1814"/>
          </w:tcPr>
          <w:p>
            <w:pPr>
              <w:jc w:val="center"/>
            </w:pPr>
            <w:r/>
            <w:r>
              <w:rPr>
                <w:rFonts w:ascii="宋体" w:hAnsi="宋体" w:eastAsia="宋体"/>
                <w:sz w:val="20"/>
              </w:rPr>
              <w:t>Dijkstra</w:t>
            </w:r>
          </w:p>
        </w:tc>
        <w:tc>
          <w:tcPr>
            <w:tcW w:type="dxa" w:w="1814"/>
          </w:tcPr>
          <w:p>
            <w:pPr>
              <w:jc w:val="center"/>
            </w:pPr>
            <w:r/>
            <w:r>
              <w:rPr>
                <w:rFonts w:ascii="宋体" w:hAnsi="宋体" w:eastAsia="宋体"/>
                <w:sz w:val="20"/>
              </w:rPr>
              <w:t>0.47054 ± 0.06616</w:t>
            </w:r>
          </w:p>
        </w:tc>
        <w:tc>
          <w:tcPr>
            <w:tcW w:type="dxa" w:w="1814"/>
          </w:tcPr>
          <w:p>
            <w:pPr>
              <w:jc w:val="center"/>
            </w:pPr>
            <w:r/>
            <w:r>
              <w:rPr>
                <w:rFonts w:ascii="宋体" w:hAnsi="宋体" w:eastAsia="宋体"/>
                <w:sz w:val="20"/>
              </w:rPr>
              <w:t>6.1624 ± 0.2488</w:t>
            </w:r>
          </w:p>
        </w:tc>
        <w:tc>
          <w:tcPr>
            <w:tcW w:type="dxa" w:w="1814"/>
          </w:tcPr>
          <w:p>
            <w:pPr>
              <w:jc w:val="center"/>
            </w:pPr>
            <w:r/>
            <w:r>
              <w:rPr>
                <w:rFonts w:ascii="宋体" w:hAnsi="宋体" w:eastAsia="宋体"/>
                <w:sz w:val="20"/>
              </w:rPr>
              <w:t>0.9000 ± 0.1303</w:t>
            </w:r>
          </w:p>
        </w:tc>
        <w:tc>
          <w:tcPr>
            <w:tcW w:type="dxa" w:w="1814"/>
          </w:tcPr>
          <w:p>
            <w:pPr>
              <w:jc w:val="center"/>
            </w:pPr>
            <w:r/>
            <w:r>
              <w:rPr>
                <w:rFonts w:ascii="宋体" w:hAnsi="宋体" w:eastAsia="宋体"/>
                <w:sz w:val="20"/>
              </w:rPr>
              <w:t>123.96 ± 14.42</w:t>
            </w:r>
          </w:p>
        </w:tc>
      </w:tr>
      <w:tr>
        <w:tc>
          <w:tcPr>
            <w:tcW w:type="dxa" w:w="1814"/>
          </w:tcPr>
          <w:p>
            <w:pPr>
              <w:jc w:val="center"/>
            </w:pPr>
            <w:r/>
            <w:r>
              <w:rPr>
                <w:rFonts w:ascii="宋体" w:hAnsi="宋体" w:eastAsia="宋体"/>
                <w:sz w:val="20"/>
              </w:rPr>
              <w:t>A*（传统）</w:t>
            </w:r>
          </w:p>
        </w:tc>
        <w:tc>
          <w:tcPr>
            <w:tcW w:type="dxa" w:w="1814"/>
          </w:tcPr>
          <w:p>
            <w:pPr>
              <w:jc w:val="center"/>
            </w:pPr>
            <w:r/>
            <w:r>
              <w:rPr>
                <w:rFonts w:ascii="宋体" w:hAnsi="宋体" w:eastAsia="宋体"/>
                <w:sz w:val="20"/>
              </w:rPr>
              <w:t>0.04866 ± 0.00414</w:t>
            </w:r>
          </w:p>
        </w:tc>
        <w:tc>
          <w:tcPr>
            <w:tcW w:type="dxa" w:w="1814"/>
          </w:tcPr>
          <w:p>
            <w:pPr>
              <w:jc w:val="center"/>
            </w:pPr>
            <w:r/>
            <w:r>
              <w:rPr>
                <w:rFonts w:ascii="宋体" w:hAnsi="宋体" w:eastAsia="宋体"/>
                <w:sz w:val="20"/>
              </w:rPr>
              <w:t>6.1624 ± 0.2488</w:t>
            </w:r>
          </w:p>
        </w:tc>
        <w:tc>
          <w:tcPr>
            <w:tcW w:type="dxa" w:w="1814"/>
          </w:tcPr>
          <w:p>
            <w:pPr>
              <w:jc w:val="center"/>
            </w:pPr>
            <w:r/>
            <w:r>
              <w:rPr>
                <w:rFonts w:ascii="宋体" w:hAnsi="宋体" w:eastAsia="宋体"/>
                <w:sz w:val="20"/>
              </w:rPr>
              <w:t>1.1311 ± 0.1645</w:t>
            </w:r>
          </w:p>
        </w:tc>
        <w:tc>
          <w:tcPr>
            <w:tcW w:type="dxa" w:w="1814"/>
          </w:tcPr>
          <w:p>
            <w:pPr>
              <w:jc w:val="center"/>
            </w:pPr>
            <w:r/>
            <w:r>
              <w:rPr>
                <w:rFonts w:ascii="宋体" w:hAnsi="宋体" w:eastAsia="宋体"/>
                <w:sz w:val="20"/>
              </w:rPr>
              <w:t>8.11 ± 0.78</w:t>
            </w:r>
          </w:p>
        </w:tc>
      </w:tr>
      <w:tr>
        <w:tc>
          <w:tcPr>
            <w:tcW w:type="dxa" w:w="1814"/>
          </w:tcPr>
          <w:p>
            <w:pPr>
              <w:jc w:val="center"/>
            </w:pPr>
            <w:r/>
            <w:r>
              <w:rPr>
                <w:rFonts w:ascii="宋体" w:hAnsi="宋体" w:eastAsia="宋体"/>
                <w:sz w:val="20"/>
              </w:rPr>
              <w:t>加权 A*（固定 \alpha = 1.2）</w:t>
            </w:r>
          </w:p>
        </w:tc>
        <w:tc>
          <w:tcPr>
            <w:tcW w:type="dxa" w:w="1814"/>
          </w:tcPr>
          <w:p>
            <w:pPr>
              <w:jc w:val="center"/>
            </w:pPr>
            <w:r/>
            <w:r>
              <w:rPr>
                <w:rFonts w:ascii="宋体" w:hAnsi="宋体" w:eastAsia="宋体"/>
                <w:sz w:val="20"/>
              </w:rPr>
              <w:t>0.03764 ± 0.00178</w:t>
            </w:r>
          </w:p>
        </w:tc>
        <w:tc>
          <w:tcPr>
            <w:tcW w:type="dxa" w:w="1814"/>
          </w:tcPr>
          <w:p>
            <w:pPr>
              <w:jc w:val="center"/>
            </w:pPr>
            <w:r/>
            <w:r>
              <w:rPr>
                <w:rFonts w:ascii="宋体" w:hAnsi="宋体" w:eastAsia="宋体"/>
                <w:sz w:val="20"/>
              </w:rPr>
              <w:t>6.1624 ± 0.2488</w:t>
            </w:r>
          </w:p>
        </w:tc>
        <w:tc>
          <w:tcPr>
            <w:tcW w:type="dxa" w:w="1814"/>
          </w:tcPr>
          <w:p>
            <w:pPr>
              <w:jc w:val="center"/>
            </w:pPr>
            <w:r/>
            <w:r>
              <w:rPr>
                <w:rFonts w:ascii="宋体" w:hAnsi="宋体" w:eastAsia="宋体"/>
                <w:sz w:val="20"/>
              </w:rPr>
              <w:t>0.7533 ± 0.1201</w:t>
            </w:r>
          </w:p>
        </w:tc>
        <w:tc>
          <w:tcPr>
            <w:tcW w:type="dxa" w:w="1814"/>
          </w:tcPr>
          <w:p>
            <w:pPr>
              <w:jc w:val="center"/>
            </w:pPr>
            <w:r/>
            <w:r>
              <w:rPr>
                <w:rFonts w:ascii="宋体" w:hAnsi="宋体" w:eastAsia="宋体"/>
                <w:sz w:val="20"/>
              </w:rPr>
              <w:t>6.30 ± 0.26</w:t>
            </w:r>
          </w:p>
        </w:tc>
      </w:tr>
      <w:tr>
        <w:tc>
          <w:tcPr>
            <w:tcW w:type="dxa" w:w="1814"/>
          </w:tcPr>
          <w:p>
            <w:pPr>
              <w:jc w:val="center"/>
            </w:pPr>
            <w:r/>
            <w:r>
              <w:rPr>
                <w:rFonts w:ascii="宋体" w:hAnsi="宋体" w:eastAsia="宋体"/>
                <w:sz w:val="20"/>
              </w:rPr>
              <w:t>改进 A*（本文）</w:t>
            </w:r>
          </w:p>
        </w:tc>
        <w:tc>
          <w:tcPr>
            <w:tcW w:type="dxa" w:w="1814"/>
          </w:tcPr>
          <w:p>
            <w:pPr>
              <w:jc w:val="center"/>
            </w:pPr>
            <w:r/>
            <w:r>
              <w:rPr>
                <w:rFonts w:ascii="宋体" w:hAnsi="宋体" w:eastAsia="宋体"/>
                <w:sz w:val="20"/>
              </w:rPr>
              <w:t>0.04257 ± 0.00663</w:t>
            </w:r>
          </w:p>
        </w:tc>
        <w:tc>
          <w:tcPr>
            <w:tcW w:type="dxa" w:w="1814"/>
          </w:tcPr>
          <w:p>
            <w:pPr>
              <w:jc w:val="center"/>
            </w:pPr>
            <w:r/>
            <w:r>
              <w:rPr>
                <w:rFonts w:ascii="宋体" w:hAnsi="宋体" w:eastAsia="宋体"/>
                <w:sz w:val="20"/>
              </w:rPr>
              <w:t>5.8635 ± 0.2397</w:t>
            </w:r>
          </w:p>
        </w:tc>
        <w:tc>
          <w:tcPr>
            <w:tcW w:type="dxa" w:w="1814"/>
          </w:tcPr>
          <w:p>
            <w:pPr>
              <w:jc w:val="center"/>
            </w:pPr>
            <w:r/>
            <w:r>
              <w:rPr>
                <w:rFonts w:ascii="宋体" w:hAnsi="宋体" w:eastAsia="宋体"/>
                <w:sz w:val="20"/>
              </w:rPr>
              <w:t>0.0267 ± 0.0382</w:t>
            </w:r>
          </w:p>
        </w:tc>
        <w:tc>
          <w:tcPr>
            <w:tcW w:type="dxa" w:w="1814"/>
          </w:tcPr>
          <w:p>
            <w:pPr>
              <w:jc w:val="center"/>
            </w:pPr>
            <w:r/>
            <w:r>
              <w:rPr>
                <w:rFonts w:ascii="宋体" w:hAnsi="宋体" w:eastAsia="宋体"/>
                <w:sz w:val="20"/>
              </w:rPr>
              <w:t>7.54 ± 1.30</w:t>
            </w:r>
          </w:p>
        </w:tc>
      </w:tr>
      <w:tr>
        <w:tc>
          <w:tcPr>
            <w:tcW w:type="dxa" w:w="1814"/>
          </w:tcPr>
          <w:p>
            <w:pPr>
              <w:jc w:val="center"/>
            </w:pPr>
            <w:r/>
            <w:r>
              <w:rPr>
                <w:rFonts w:ascii="宋体" w:hAnsi="宋体" w:eastAsia="宋体"/>
                <w:sz w:val="20"/>
              </w:rPr>
              <w:t>消融：无自适应权重</w:t>
            </w:r>
          </w:p>
        </w:tc>
        <w:tc>
          <w:tcPr>
            <w:tcW w:type="dxa" w:w="1814"/>
          </w:tcPr>
          <w:p>
            <w:pPr>
              <w:jc w:val="center"/>
            </w:pPr>
            <w:r/>
            <w:r>
              <w:rPr>
                <w:rFonts w:ascii="宋体" w:hAnsi="宋体" w:eastAsia="宋体"/>
                <w:sz w:val="20"/>
              </w:rPr>
              <w:t>0.04603 ± 0.00383</w:t>
            </w:r>
          </w:p>
        </w:tc>
        <w:tc>
          <w:tcPr>
            <w:tcW w:type="dxa" w:w="1814"/>
          </w:tcPr>
          <w:p>
            <w:pPr>
              <w:jc w:val="center"/>
            </w:pPr>
            <w:r/>
            <w:r>
              <w:rPr>
                <w:rFonts w:ascii="宋体" w:hAnsi="宋体" w:eastAsia="宋体"/>
                <w:sz w:val="20"/>
              </w:rPr>
              <w:t>5.8634 ± 0.2398</w:t>
            </w:r>
          </w:p>
        </w:tc>
        <w:tc>
          <w:tcPr>
            <w:tcW w:type="dxa" w:w="1814"/>
          </w:tcPr>
          <w:p>
            <w:pPr>
              <w:jc w:val="center"/>
            </w:pPr>
            <w:r/>
            <w:r>
              <w:rPr>
                <w:rFonts w:ascii="宋体" w:hAnsi="宋体" w:eastAsia="宋体"/>
                <w:sz w:val="20"/>
              </w:rPr>
              <w:t>0.0244 ± 0.0367</w:t>
            </w:r>
          </w:p>
        </w:tc>
        <w:tc>
          <w:tcPr>
            <w:tcW w:type="dxa" w:w="1814"/>
          </w:tcPr>
          <w:p>
            <w:pPr>
              <w:jc w:val="center"/>
            </w:pPr>
            <w:r/>
            <w:r>
              <w:rPr>
                <w:rFonts w:ascii="宋体" w:hAnsi="宋体" w:eastAsia="宋体"/>
                <w:sz w:val="20"/>
              </w:rPr>
              <w:t>8.11 ± 0.78</w:t>
            </w:r>
          </w:p>
        </w:tc>
      </w:tr>
      <w:tr>
        <w:tc>
          <w:tcPr>
            <w:tcW w:type="dxa" w:w="1814"/>
          </w:tcPr>
          <w:p>
            <w:pPr>
              <w:jc w:val="center"/>
            </w:pPr>
            <w:r/>
            <w:r>
              <w:rPr>
                <w:rFonts w:ascii="宋体" w:hAnsi="宋体" w:eastAsia="宋体"/>
                <w:sz w:val="20"/>
              </w:rPr>
              <w:t>消融：无路径平滑</w:t>
            </w:r>
          </w:p>
        </w:tc>
        <w:tc>
          <w:tcPr>
            <w:tcW w:type="dxa" w:w="1814"/>
          </w:tcPr>
          <w:p>
            <w:pPr>
              <w:jc w:val="center"/>
            </w:pPr>
            <w:r/>
            <w:r>
              <w:rPr>
                <w:rFonts w:ascii="宋体" w:hAnsi="宋体" w:eastAsia="宋体"/>
                <w:sz w:val="20"/>
              </w:rPr>
              <w:t>0.04296 ± 0.00706</w:t>
            </w:r>
          </w:p>
        </w:tc>
        <w:tc>
          <w:tcPr>
            <w:tcW w:type="dxa" w:w="1814"/>
          </w:tcPr>
          <w:p>
            <w:pPr>
              <w:jc w:val="center"/>
            </w:pPr>
            <w:r/>
            <w:r>
              <w:rPr>
                <w:rFonts w:ascii="宋体" w:hAnsi="宋体" w:eastAsia="宋体"/>
                <w:sz w:val="20"/>
              </w:rPr>
              <w:t>6.1624 ± 0.2488</w:t>
            </w:r>
          </w:p>
        </w:tc>
        <w:tc>
          <w:tcPr>
            <w:tcW w:type="dxa" w:w="1814"/>
          </w:tcPr>
          <w:p>
            <w:pPr>
              <w:jc w:val="center"/>
            </w:pPr>
            <w:r/>
            <w:r>
              <w:rPr>
                <w:rFonts w:ascii="宋体" w:hAnsi="宋体" w:eastAsia="宋体"/>
                <w:sz w:val="20"/>
              </w:rPr>
              <w:t>0.9911 ± 0.2556</w:t>
            </w:r>
          </w:p>
        </w:tc>
        <w:tc>
          <w:tcPr>
            <w:tcW w:type="dxa" w:w="1814"/>
          </w:tcPr>
          <w:p>
            <w:pPr>
              <w:jc w:val="center"/>
            </w:pPr>
            <w:r/>
            <w:r>
              <w:rPr>
                <w:rFonts w:ascii="宋体" w:hAnsi="宋体" w:eastAsia="宋体"/>
                <w:sz w:val="20"/>
              </w:rPr>
              <w:t>7.54 ± 1.30</w:t>
            </w:r>
          </w:p>
        </w:tc>
      </w:tr>
    </w:tbl>
    <w:p/>
    <w:p>
      <w:pPr>
        <w:ind w:firstLine="420"/>
      </w:pPr>
      <w:r>
        <w:rPr>
          <w:rFonts w:ascii="宋体" w:hAnsi="宋体" w:eastAsia="宋体"/>
          <w:sz w:val="24"/>
        </w:rPr>
        <w:t>改进 A* 在三项核心指标上均取得了正向改进：运行时间比传统 A* 快约 12.7%（比值 0.8728x），路径长度缩短约 4.9%（绝对减少 0.299），转弯次数减少约 97.6%（从 1.131 次降至 0.027 次）。图 4 展示了 6 张代表性地图上各算法的路径可视化对比，直观呈现了路径平滑策略对路径形态的改善效果（见图 4）。</w:t>
      </w:r>
    </w:p>
    <w:p>
      <w:pPr>
        <w:jc w:val="center"/>
      </w:pPr>
      <w:r>
        <w:drawing>
          <wp:inline xmlns:a="http://schemas.openxmlformats.org/drawingml/2006/main" xmlns:pic="http://schemas.openxmlformats.org/drawingml/2006/picture">
            <wp:extent cx="5029200" cy="3565390"/>
            <wp:docPr id="1" name="Picture 1"/>
            <wp:cNvGraphicFramePr>
              <a:graphicFrameLocks noChangeAspect="1"/>
            </wp:cNvGraphicFramePr>
            <a:graphic>
              <a:graphicData uri="http://schemas.openxmlformats.org/drawingml/2006/picture">
                <pic:pic>
                  <pic:nvPicPr>
                    <pic:cNvPr id="0" name="path_comparison_6maps_v3.png"/>
                    <pic:cNvPicPr/>
                  </pic:nvPicPr>
                  <pic:blipFill>
                    <a:blip r:embed="rId9"/>
                    <a:stretch>
                      <a:fillRect/>
                    </a:stretch>
                  </pic:blipFill>
                  <pic:spPr>
                    <a:xfrm>
                      <a:off x="0" y="0"/>
                      <a:ext cx="5029200" cy="3565390"/>
                    </a:xfrm>
                    <a:prstGeom prst="rect"/>
                  </pic:spPr>
                </pic:pic>
              </a:graphicData>
            </a:graphic>
          </wp:inline>
        </w:drawing>
      </w:r>
    </w:p>
    <w:p>
      <w:pPr>
        <w:spacing w:after="160"/>
        <w:jc w:val="center"/>
      </w:pPr>
      <w:r>
        <w:rPr>
          <w:rFonts w:ascii="宋体" w:hAnsi="宋体" w:eastAsia="宋体"/>
          <w:sz w:val="20"/>
        </w:rPr>
        <w:t>图 4  路径对比可视化（传统 A* vs 改进 A*）</w:t>
      </w:r>
    </w:p>
    <w:p>
      <w:pPr>
        <w:pStyle w:val="Heading2"/>
      </w:pPr>
      <w:r>
        <w:t>5.2 与传统算法的对比分析</w:t>
      </w:r>
    </w:p>
    <w:p>
      <w:pPr>
        <w:pStyle w:val="Heading3"/>
      </w:pPr>
      <w:r>
        <w:t>5.2.1 运行时间</w:t>
      </w:r>
    </w:p>
    <w:p>
      <w:pPr>
        <w:ind w:firstLine="420"/>
      </w:pPr>
      <w:r>
        <w:rPr>
          <w:rFonts w:ascii="宋体" w:hAnsi="宋体" w:eastAsia="宋体"/>
          <w:sz w:val="24"/>
        </w:rPr>
        <w:t>表 5-2 改进 A* 与传统 A* 运行时间比值（按地图类型）</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rFonts w:ascii="宋体" w:hAnsi="宋体" w:eastAsia="宋体"/>
                <w:b/>
                <w:sz w:val="20"/>
              </w:rPr>
              <w:t>地图类型</w:t>
            </w:r>
          </w:p>
        </w:tc>
        <w:tc>
          <w:tcPr>
            <w:tcW w:type="dxa" w:w="1512"/>
          </w:tcPr>
          <w:p>
            <w:pPr>
              <w:jc w:val="center"/>
            </w:pPr>
            <w:r/>
            <w:r>
              <w:rPr>
                <w:rFonts w:ascii="宋体" w:hAnsi="宋体" w:eastAsia="宋体"/>
                <w:b/>
                <w:sz w:val="20"/>
              </w:rPr>
              <w:t>地图数</w:t>
            </w:r>
          </w:p>
        </w:tc>
        <w:tc>
          <w:tcPr>
            <w:tcW w:type="dxa" w:w="1512"/>
          </w:tcPr>
          <w:p>
            <w:pPr>
              <w:jc w:val="center"/>
            </w:pPr>
            <w:r/>
            <w:r>
              <w:rPr>
                <w:rFonts w:ascii="宋体" w:hAnsi="宋体" w:eastAsia="宋体"/>
                <w:b/>
                <w:sz w:val="20"/>
              </w:rPr>
              <w:t>A* 均值 (ms)</w:t>
            </w:r>
          </w:p>
        </w:tc>
        <w:tc>
          <w:tcPr>
            <w:tcW w:type="dxa" w:w="1512"/>
          </w:tcPr>
          <w:p>
            <w:pPr>
              <w:jc w:val="center"/>
            </w:pPr>
            <w:r/>
            <w:r>
              <w:rPr>
                <w:rFonts w:ascii="宋体" w:hAnsi="宋体" w:eastAsia="宋体"/>
                <w:b/>
                <w:sz w:val="20"/>
              </w:rPr>
              <w:t>改进 A* 均值 (ms)</w:t>
            </w:r>
          </w:p>
        </w:tc>
        <w:tc>
          <w:tcPr>
            <w:tcW w:type="dxa" w:w="1512"/>
          </w:tcPr>
          <w:p>
            <w:pPr>
              <w:jc w:val="center"/>
            </w:pPr>
            <w:r/>
            <w:r>
              <w:rPr>
                <w:rFonts w:ascii="宋体" w:hAnsi="宋体" w:eastAsia="宋体"/>
                <w:b/>
                <w:sz w:val="20"/>
              </w:rPr>
              <w:t>运行时间比值</w:t>
            </w:r>
          </w:p>
        </w:tc>
        <w:tc>
          <w:tcPr>
            <w:tcW w:type="dxa" w:w="1512"/>
          </w:tcPr>
          <w:p>
            <w:pPr>
              <w:jc w:val="center"/>
            </w:pPr>
            <w:r/>
            <w:r>
              <w:rPr>
                <w:rFonts w:ascii="宋体" w:hAnsi="宋体" w:eastAsia="宋体"/>
                <w:b/>
                <w:sz w:val="20"/>
              </w:rPr>
              <w:t>改善幅度</w:t>
            </w:r>
          </w:p>
        </w:tc>
      </w:tr>
      <w:tr>
        <w:tc>
          <w:tcPr>
            <w:tcW w:type="dxa" w:w="1512"/>
          </w:tcPr>
          <w:p>
            <w:pPr>
              <w:jc w:val="center"/>
            </w:pPr>
            <w:r/>
            <w:r>
              <w:rPr>
                <w:rFonts w:ascii="宋体" w:hAnsi="宋体" w:eastAsia="宋体"/>
                <w:sz w:val="20"/>
              </w:rPr>
              <w:t>DAO 游戏地图</w:t>
            </w:r>
          </w:p>
        </w:tc>
        <w:tc>
          <w:tcPr>
            <w:tcW w:type="dxa" w:w="1512"/>
          </w:tcPr>
          <w:p>
            <w:pPr>
              <w:jc w:val="center"/>
            </w:pPr>
            <w:r/>
            <w:r>
              <w:rPr>
                <w:rFonts w:ascii="宋体" w:hAnsi="宋体" w:eastAsia="宋体"/>
                <w:sz w:val="20"/>
              </w:rPr>
              <w:t>5</w:t>
            </w:r>
          </w:p>
        </w:tc>
        <w:tc>
          <w:tcPr>
            <w:tcW w:type="dxa" w:w="1512"/>
          </w:tcPr>
          <w:p>
            <w:pPr>
              <w:jc w:val="center"/>
            </w:pPr>
            <w:r/>
            <w:r>
              <w:rPr>
                <w:rFonts w:ascii="宋体" w:hAnsi="宋体" w:eastAsia="宋体"/>
                <w:sz w:val="20"/>
              </w:rPr>
              <w:t>0.04730</w:t>
            </w:r>
          </w:p>
        </w:tc>
        <w:tc>
          <w:tcPr>
            <w:tcW w:type="dxa" w:w="1512"/>
          </w:tcPr>
          <w:p>
            <w:pPr>
              <w:jc w:val="center"/>
            </w:pPr>
            <w:r/>
            <w:r>
              <w:rPr>
                <w:rFonts w:ascii="宋体" w:hAnsi="宋体" w:eastAsia="宋体"/>
                <w:sz w:val="20"/>
              </w:rPr>
              <w:t>0.04373</w:t>
            </w:r>
          </w:p>
        </w:tc>
        <w:tc>
          <w:tcPr>
            <w:tcW w:type="dxa" w:w="1512"/>
          </w:tcPr>
          <w:p>
            <w:pPr>
              <w:jc w:val="center"/>
            </w:pPr>
            <w:r/>
            <w:r>
              <w:rPr>
                <w:rFonts w:ascii="宋体" w:hAnsi="宋体" w:eastAsia="宋体"/>
                <w:sz w:val="20"/>
              </w:rPr>
              <w:t>0.9246x</w:t>
            </w:r>
          </w:p>
        </w:tc>
        <w:tc>
          <w:tcPr>
            <w:tcW w:type="dxa" w:w="1512"/>
          </w:tcPr>
          <w:p>
            <w:pPr>
              <w:jc w:val="center"/>
            </w:pPr>
            <w:r/>
            <w:r>
              <w:rPr>
                <w:rFonts w:ascii="宋体" w:hAnsi="宋体" w:eastAsia="宋体"/>
                <w:sz w:val="20"/>
              </w:rPr>
              <w:t>快约 7.5%</w:t>
            </w:r>
          </w:p>
        </w:tc>
      </w:tr>
      <w:tr>
        <w:tc>
          <w:tcPr>
            <w:tcW w:type="dxa" w:w="1512"/>
          </w:tcPr>
          <w:p>
            <w:pPr>
              <w:jc w:val="center"/>
            </w:pPr>
            <w:r/>
            <w:r>
              <w:rPr>
                <w:rFonts w:ascii="宋体" w:hAnsi="宋体" w:eastAsia="宋体"/>
                <w:sz w:val="20"/>
              </w:rPr>
              <w:t>Street 城市地图</w:t>
            </w:r>
          </w:p>
        </w:tc>
        <w:tc>
          <w:tcPr>
            <w:tcW w:type="dxa" w:w="1512"/>
          </w:tcPr>
          <w:p>
            <w:pPr>
              <w:jc w:val="center"/>
            </w:pPr>
            <w:r/>
            <w:r>
              <w:rPr>
                <w:rFonts w:ascii="宋体" w:hAnsi="宋体" w:eastAsia="宋体"/>
                <w:sz w:val="20"/>
              </w:rPr>
              <w:t>5</w:t>
            </w:r>
          </w:p>
        </w:tc>
        <w:tc>
          <w:tcPr>
            <w:tcW w:type="dxa" w:w="1512"/>
          </w:tcPr>
          <w:p>
            <w:pPr>
              <w:jc w:val="center"/>
            </w:pPr>
            <w:r/>
            <w:r>
              <w:rPr>
                <w:rFonts w:ascii="宋体" w:hAnsi="宋体" w:eastAsia="宋体"/>
                <w:sz w:val="20"/>
              </w:rPr>
              <w:t>0.04705</w:t>
            </w:r>
          </w:p>
        </w:tc>
        <w:tc>
          <w:tcPr>
            <w:tcW w:type="dxa" w:w="1512"/>
          </w:tcPr>
          <w:p>
            <w:pPr>
              <w:jc w:val="center"/>
            </w:pPr>
            <w:r/>
            <w:r>
              <w:rPr>
                <w:rFonts w:ascii="宋体" w:hAnsi="宋体" w:eastAsia="宋体"/>
                <w:sz w:val="20"/>
              </w:rPr>
              <w:t>0.03581</w:t>
            </w:r>
          </w:p>
        </w:tc>
        <w:tc>
          <w:tcPr>
            <w:tcW w:type="dxa" w:w="1512"/>
          </w:tcPr>
          <w:p>
            <w:pPr>
              <w:jc w:val="center"/>
            </w:pPr>
            <w:r/>
            <w:r>
              <w:rPr>
                <w:rFonts w:ascii="宋体" w:hAnsi="宋体" w:eastAsia="宋体"/>
                <w:sz w:val="20"/>
              </w:rPr>
              <w:t>0.7612x</w:t>
            </w:r>
          </w:p>
        </w:tc>
        <w:tc>
          <w:tcPr>
            <w:tcW w:type="dxa" w:w="1512"/>
          </w:tcPr>
          <w:p>
            <w:pPr>
              <w:jc w:val="center"/>
            </w:pPr>
            <w:r/>
            <w:r>
              <w:rPr>
                <w:rFonts w:ascii="宋体" w:hAnsi="宋体" w:eastAsia="宋体"/>
                <w:sz w:val="20"/>
              </w:rPr>
              <w:t>快约 23.9%</w:t>
            </w:r>
          </w:p>
        </w:tc>
      </w:tr>
      <w:tr>
        <w:tc>
          <w:tcPr>
            <w:tcW w:type="dxa" w:w="1512"/>
          </w:tcPr>
          <w:p>
            <w:pPr>
              <w:jc w:val="center"/>
            </w:pPr>
            <w:r/>
            <w:r>
              <w:rPr>
                <w:rFonts w:ascii="宋体" w:hAnsi="宋体" w:eastAsia="宋体"/>
                <w:sz w:val="20"/>
              </w:rPr>
              <w:t>WC3 魔兽地图</w:t>
            </w:r>
          </w:p>
        </w:tc>
        <w:tc>
          <w:tcPr>
            <w:tcW w:type="dxa" w:w="1512"/>
          </w:tcPr>
          <w:p>
            <w:pPr>
              <w:jc w:val="center"/>
            </w:pPr>
            <w:r/>
            <w:r>
              <w:rPr>
                <w:rFonts w:ascii="宋体" w:hAnsi="宋体" w:eastAsia="宋体"/>
                <w:sz w:val="20"/>
              </w:rPr>
              <w:t>5</w:t>
            </w:r>
          </w:p>
        </w:tc>
        <w:tc>
          <w:tcPr>
            <w:tcW w:type="dxa" w:w="1512"/>
          </w:tcPr>
          <w:p>
            <w:pPr>
              <w:jc w:val="center"/>
            </w:pPr>
            <w:r/>
            <w:r>
              <w:rPr>
                <w:rFonts w:ascii="宋体" w:hAnsi="宋体" w:eastAsia="宋体"/>
                <w:sz w:val="20"/>
              </w:rPr>
              <w:t>0.05164</w:t>
            </w:r>
          </w:p>
        </w:tc>
        <w:tc>
          <w:tcPr>
            <w:tcW w:type="dxa" w:w="1512"/>
          </w:tcPr>
          <w:p>
            <w:pPr>
              <w:jc w:val="center"/>
            </w:pPr>
            <w:r/>
            <w:r>
              <w:rPr>
                <w:rFonts w:ascii="宋体" w:hAnsi="宋体" w:eastAsia="宋体"/>
                <w:sz w:val="20"/>
              </w:rPr>
              <w:t>0.04817</w:t>
            </w:r>
          </w:p>
        </w:tc>
        <w:tc>
          <w:tcPr>
            <w:tcW w:type="dxa" w:w="1512"/>
          </w:tcPr>
          <w:p>
            <w:pPr>
              <w:jc w:val="center"/>
            </w:pPr>
            <w:r/>
            <w:r>
              <w:rPr>
                <w:rFonts w:ascii="宋体" w:hAnsi="宋体" w:eastAsia="宋体"/>
                <w:sz w:val="20"/>
              </w:rPr>
              <w:t>0.9328x</w:t>
            </w:r>
          </w:p>
        </w:tc>
        <w:tc>
          <w:tcPr>
            <w:tcW w:type="dxa" w:w="1512"/>
          </w:tcPr>
          <w:p>
            <w:pPr>
              <w:jc w:val="center"/>
            </w:pPr>
            <w:r/>
            <w:r>
              <w:rPr>
                <w:rFonts w:ascii="宋体" w:hAnsi="宋体" w:eastAsia="宋体"/>
                <w:sz w:val="20"/>
              </w:rPr>
              <w:t>快约 6.7%</w:t>
            </w:r>
          </w:p>
        </w:tc>
      </w:tr>
      <w:tr>
        <w:tc>
          <w:tcPr>
            <w:tcW w:type="dxa" w:w="1512"/>
          </w:tcPr>
          <w:p>
            <w:pPr>
              <w:jc w:val="center"/>
            </w:pPr>
            <w:r/>
            <w:r>
              <w:rPr>
                <w:rFonts w:ascii="宋体" w:hAnsi="宋体" w:eastAsia="宋体"/>
                <w:sz w:val="20"/>
              </w:rPr>
              <w:t>全局平均</w:t>
            </w:r>
          </w:p>
        </w:tc>
        <w:tc>
          <w:tcPr>
            <w:tcW w:type="dxa" w:w="1512"/>
          </w:tcPr>
          <w:p>
            <w:pPr>
              <w:jc w:val="center"/>
            </w:pPr>
            <w:r/>
            <w:r>
              <w:rPr>
                <w:rFonts w:ascii="宋体" w:hAnsi="宋体" w:eastAsia="宋体"/>
                <w:sz w:val="20"/>
              </w:rPr>
              <w:t>15</w:t>
            </w:r>
          </w:p>
        </w:tc>
        <w:tc>
          <w:tcPr>
            <w:tcW w:type="dxa" w:w="1512"/>
          </w:tcPr>
          <w:p>
            <w:pPr>
              <w:jc w:val="center"/>
            </w:pPr>
            <w:r/>
            <w:r>
              <w:rPr>
                <w:rFonts w:ascii="宋体" w:hAnsi="宋体" w:eastAsia="宋体"/>
                <w:sz w:val="20"/>
              </w:rPr>
              <w:t>0.04866</w:t>
            </w:r>
          </w:p>
        </w:tc>
        <w:tc>
          <w:tcPr>
            <w:tcW w:type="dxa" w:w="1512"/>
          </w:tcPr>
          <w:p>
            <w:pPr>
              <w:jc w:val="center"/>
            </w:pPr>
            <w:r/>
            <w:r>
              <w:rPr>
                <w:rFonts w:ascii="宋体" w:hAnsi="宋体" w:eastAsia="宋体"/>
                <w:sz w:val="20"/>
              </w:rPr>
              <w:t>0.04257</w:t>
            </w:r>
          </w:p>
        </w:tc>
        <w:tc>
          <w:tcPr>
            <w:tcW w:type="dxa" w:w="1512"/>
          </w:tcPr>
          <w:p>
            <w:pPr>
              <w:jc w:val="center"/>
            </w:pPr>
            <w:r/>
            <w:r>
              <w:rPr>
                <w:rFonts w:ascii="宋体" w:hAnsi="宋体" w:eastAsia="宋体"/>
                <w:sz w:val="20"/>
              </w:rPr>
              <w:t>0.8728x</w:t>
            </w:r>
          </w:p>
        </w:tc>
        <w:tc>
          <w:tcPr>
            <w:tcW w:type="dxa" w:w="1512"/>
          </w:tcPr>
          <w:p>
            <w:pPr>
              <w:jc w:val="center"/>
            </w:pPr>
            <w:r/>
            <w:r>
              <w:rPr>
                <w:rFonts w:ascii="宋体" w:hAnsi="宋体" w:eastAsia="宋体"/>
                <w:sz w:val="20"/>
              </w:rPr>
              <w:t>快约 12.7%</w:t>
            </w:r>
          </w:p>
        </w:tc>
      </w:tr>
    </w:tbl>
    <w:p/>
    <w:p>
      <w:pPr>
        <w:ind w:firstLine="420"/>
      </w:pPr>
      <w:r>
        <w:rPr>
          <w:rFonts w:ascii="宋体" w:hAnsi="宋体" w:eastAsia="宋体"/>
          <w:sz w:val="24"/>
        </w:rPr>
        <w:t>运行时间的改善在 Street 城市地图上最为显著（快 23.9%），这与城市地图的规则性结构有关：规则的街道网格使得自适应权重能够更有效地引导搜索方向。在全部 15 张地图中，改进 A* 的运行时间均不超过传统 A* 的 1.05 倍，具有良好的鲁棒性（见图 1）。</w:t>
      </w:r>
    </w:p>
    <w:p>
      <w:pPr>
        <w:jc w:val="center"/>
      </w:pPr>
      <w:r>
        <w:drawing>
          <wp:inline xmlns:a="http://schemas.openxmlformats.org/drawingml/2006/main" xmlns:pic="http://schemas.openxmlformats.org/drawingml/2006/picture">
            <wp:extent cx="5029200" cy="1985063"/>
            <wp:docPr id="2" name="Picture 2"/>
            <wp:cNvGraphicFramePr>
              <a:graphicFrameLocks noChangeAspect="1"/>
            </wp:cNvGraphicFramePr>
            <a:graphic>
              <a:graphicData uri="http://schemas.openxmlformats.org/drawingml/2006/picture">
                <pic:pic>
                  <pic:nvPicPr>
                    <pic:cNvPr id="0" name="fig1_runtime_comparison_v3.png"/>
                    <pic:cNvPicPr/>
                  </pic:nvPicPr>
                  <pic:blipFill>
                    <a:blip r:embed="rId10"/>
                    <a:stretch>
                      <a:fillRect/>
                    </a:stretch>
                  </pic:blipFill>
                  <pic:spPr>
                    <a:xfrm>
                      <a:off x="0" y="0"/>
                      <a:ext cx="5029200" cy="1985063"/>
                    </a:xfrm>
                    <a:prstGeom prst="rect"/>
                  </pic:spPr>
                </pic:pic>
              </a:graphicData>
            </a:graphic>
          </wp:inline>
        </w:drawing>
      </w:r>
    </w:p>
    <w:p>
      <w:pPr>
        <w:spacing w:after="160"/>
        <w:jc w:val="center"/>
      </w:pPr>
      <w:r>
        <w:rPr>
          <w:rFonts w:ascii="宋体" w:hAnsi="宋体" w:eastAsia="宋体"/>
          <w:sz w:val="20"/>
        </w:rPr>
        <w:t>图 1  各算法运行时间对比（按地图类型）</w:t>
      </w:r>
    </w:p>
    <w:p>
      <w:pPr>
        <w:ind w:firstLine="420"/>
      </w:pPr>
      <w:r>
        <w:rPr>
          <w:rFonts w:ascii="宋体" w:hAnsi="宋体" w:eastAsia="宋体"/>
          <w:sz w:val="24"/>
        </w:rPr>
        <w:t>从机制层面分析，Street 城市地图的障碍率通常低于 0.1，对数映射后 α 取值接近上界 1.8，启发项权重大幅提升，搜索方向性强，扩展节点数减少约 22%；而 WC3 魔兽地图障碍率较高（约 0.3–0.5），α 趋近下界 1.0，算法近似退化为标准 A*，加速效果受限。DAO 游戏地图障碍率居中，改善幅度也介于两者之间（快约 7.5%），三类地图的规律与理论预期高度吻合。值得注意的是，即使在 WC3 地图上加速效果最弱（快约 6.7%），改进 A* 的运行时间也未出现超过传统 A* 的情况，说明自适应权重机制在最坏情况下能够安全退化，不引入额外开销。图 5 进一步展示了扩展节点数随障碍率的变化趋势，直观验证了自适应权重的工作机制（见图 5）。</w:t>
      </w:r>
    </w:p>
    <w:p>
      <w:pPr>
        <w:jc w:val="center"/>
      </w:pPr>
      <w:r>
        <w:drawing>
          <wp:inline xmlns:a="http://schemas.openxmlformats.org/drawingml/2006/main" xmlns:pic="http://schemas.openxmlformats.org/drawingml/2006/picture">
            <wp:extent cx="5029200" cy="5235297"/>
            <wp:docPr id="3" name="Picture 3"/>
            <wp:cNvGraphicFramePr>
              <a:graphicFrameLocks noChangeAspect="1"/>
            </wp:cNvGraphicFramePr>
            <a:graphic>
              <a:graphicData uri="http://schemas.openxmlformats.org/drawingml/2006/picture">
                <pic:pic>
                  <pic:nvPicPr>
                    <pic:cNvPr id="0" name="fig5_nodes_vs_obstacle_v3.png"/>
                    <pic:cNvPicPr/>
                  </pic:nvPicPr>
                  <pic:blipFill>
                    <a:blip r:embed="rId11"/>
                    <a:stretch>
                      <a:fillRect/>
                    </a:stretch>
                  </pic:blipFill>
                  <pic:spPr>
                    <a:xfrm>
                      <a:off x="0" y="0"/>
                      <a:ext cx="5029200" cy="5235297"/>
                    </a:xfrm>
                    <a:prstGeom prst="rect"/>
                  </pic:spPr>
                </pic:pic>
              </a:graphicData>
            </a:graphic>
          </wp:inline>
        </w:drawing>
      </w:r>
    </w:p>
    <w:p>
      <w:pPr>
        <w:spacing w:after="160"/>
        <w:jc w:val="center"/>
      </w:pPr>
      <w:r>
        <w:rPr>
          <w:rFonts w:ascii="宋体" w:hAnsi="宋体" w:eastAsia="宋体"/>
          <w:sz w:val="20"/>
        </w:rPr>
        <w:t>图 5  扩展节点数随障碍率的变化趋势</w:t>
      </w:r>
    </w:p>
    <w:p>
      <w:pPr>
        <w:pStyle w:val="Heading3"/>
      </w:pPr>
      <w:r>
        <w:t>5.2.2 路径长度</w:t>
      </w:r>
    </w:p>
    <w:p>
      <w:pPr>
        <w:ind w:firstLine="420"/>
      </w:pPr>
      <w:r>
        <w:rPr>
          <w:rFonts w:ascii="宋体" w:hAnsi="宋体" w:eastAsia="宋体"/>
          <w:sz w:val="24"/>
        </w:rPr>
        <w:t>改进 A* 在全部 15 张地图上均实现了路径长度的缩短，全局平均缩短约 4.9%（从 6.1624 降至 5.8635，绝对减少 0.299）。三类地图的改善幅度高度一致（DAO 5.0%、Street 4.8%、WC3 4.8%），说明路径长度的改善具有跨场景的稳定性。</w:t>
      </w:r>
    </w:p>
    <w:p>
      <w:pPr>
        <w:ind w:firstLine="420"/>
      </w:pPr>
      <w:r>
        <w:rPr>
          <w:rFonts w:ascii="宋体" w:hAnsi="宋体" w:eastAsia="宋体"/>
          <w:sz w:val="24"/>
        </w:rPr>
        <w:t>路径长度的改善主要来源于两阶段平滑中的视线简化阶段：删除冗余中间点后，路径不再沿栅格对角线迂回，而是走更直接的折线，从而在欧氏意义上缩短了总长度。这一改善与地图类型关系不大，因此在三类地图上表现出高度一致的改善幅度（4.8%–5.0%）。</w:t>
      </w:r>
    </w:p>
    <w:p>
      <w:pPr>
        <w:pStyle w:val="Heading3"/>
      </w:pPr>
      <w:r>
        <w:t>5.2.3 转弯次数</w:t>
      </w:r>
    </w:p>
    <w:p>
      <w:pPr>
        <w:ind w:firstLine="420"/>
      </w:pPr>
      <w:r>
        <w:rPr>
          <w:rFonts w:ascii="宋体" w:hAnsi="宋体" w:eastAsia="宋体"/>
          <w:sz w:val="24"/>
        </w:rPr>
        <w:t>转弯次数的改善是本文算法最为突出的优势。</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宋体" w:hAnsi="宋体" w:eastAsia="宋体"/>
                <w:b/>
                <w:sz w:val="20"/>
              </w:rPr>
              <w:t>地图类型</w:t>
            </w:r>
          </w:p>
        </w:tc>
        <w:tc>
          <w:tcPr>
            <w:tcW w:type="dxa" w:w="2268"/>
          </w:tcPr>
          <w:p>
            <w:pPr>
              <w:jc w:val="center"/>
            </w:pPr>
            <w:r/>
            <w:r>
              <w:rPr>
                <w:rFonts w:ascii="宋体" w:hAnsi="宋体" w:eastAsia="宋体"/>
                <w:b/>
                <w:sz w:val="20"/>
              </w:rPr>
              <w:t>A* 均值</w:t>
            </w:r>
          </w:p>
        </w:tc>
        <w:tc>
          <w:tcPr>
            <w:tcW w:type="dxa" w:w="2268"/>
          </w:tcPr>
          <w:p>
            <w:pPr>
              <w:jc w:val="center"/>
            </w:pPr>
            <w:r/>
            <w:r>
              <w:rPr>
                <w:rFonts w:ascii="宋体" w:hAnsi="宋体" w:eastAsia="宋体"/>
                <w:b/>
                <w:sz w:val="20"/>
              </w:rPr>
              <w:t>改进 A* 均值</w:t>
            </w:r>
          </w:p>
        </w:tc>
        <w:tc>
          <w:tcPr>
            <w:tcW w:type="dxa" w:w="2268"/>
          </w:tcPr>
          <w:p>
            <w:pPr>
              <w:jc w:val="center"/>
            </w:pPr>
            <w:r/>
            <w:r>
              <w:rPr>
                <w:rFonts w:ascii="宋体" w:hAnsi="宋体" w:eastAsia="宋体"/>
                <w:b/>
                <w:sz w:val="20"/>
              </w:rPr>
              <w:t>减少比例</w:t>
            </w:r>
          </w:p>
        </w:tc>
      </w:tr>
      <w:tr>
        <w:tc>
          <w:tcPr>
            <w:tcW w:type="dxa" w:w="2268"/>
          </w:tcPr>
          <w:p>
            <w:pPr>
              <w:jc w:val="center"/>
            </w:pPr>
            <w:r/>
            <w:r>
              <w:rPr>
                <w:rFonts w:ascii="宋体" w:hAnsi="宋体" w:eastAsia="宋体"/>
                <w:sz w:val="20"/>
              </w:rPr>
              <w:t>DAO 游戏地图</w:t>
            </w:r>
          </w:p>
        </w:tc>
        <w:tc>
          <w:tcPr>
            <w:tcW w:type="dxa" w:w="2268"/>
          </w:tcPr>
          <w:p>
            <w:pPr>
              <w:jc w:val="center"/>
            </w:pPr>
            <w:r/>
            <w:r>
              <w:rPr>
                <w:rFonts w:ascii="宋体" w:hAnsi="宋体" w:eastAsia="宋体"/>
                <w:sz w:val="20"/>
              </w:rPr>
              <w:t>1.2267</w:t>
            </w:r>
          </w:p>
        </w:tc>
        <w:tc>
          <w:tcPr>
            <w:tcW w:type="dxa" w:w="2268"/>
          </w:tcPr>
          <w:p>
            <w:pPr>
              <w:jc w:val="center"/>
            </w:pPr>
            <w:r/>
            <w:r>
              <w:rPr>
                <w:rFonts w:ascii="宋体" w:hAnsi="宋体" w:eastAsia="宋体"/>
                <w:sz w:val="20"/>
              </w:rPr>
              <w:t>0.0533</w:t>
            </w:r>
          </w:p>
        </w:tc>
        <w:tc>
          <w:tcPr>
            <w:tcW w:type="dxa" w:w="2268"/>
          </w:tcPr>
          <w:p>
            <w:pPr>
              <w:jc w:val="center"/>
            </w:pPr>
            <w:r/>
            <w:r>
              <w:rPr>
                <w:rFonts w:ascii="宋体" w:hAnsi="宋体" w:eastAsia="宋体"/>
                <w:sz w:val="20"/>
              </w:rPr>
              <w:t>95.7%</w:t>
            </w:r>
          </w:p>
        </w:tc>
      </w:tr>
      <w:tr>
        <w:tc>
          <w:tcPr>
            <w:tcW w:type="dxa" w:w="2268"/>
          </w:tcPr>
          <w:p>
            <w:pPr>
              <w:jc w:val="center"/>
            </w:pPr>
            <w:r/>
            <w:r>
              <w:rPr>
                <w:rFonts w:ascii="宋体" w:hAnsi="宋体" w:eastAsia="宋体"/>
                <w:sz w:val="20"/>
              </w:rPr>
              <w:t>Street 城市地图</w:t>
            </w:r>
          </w:p>
        </w:tc>
        <w:tc>
          <w:tcPr>
            <w:tcW w:type="dxa" w:w="2268"/>
          </w:tcPr>
          <w:p>
            <w:pPr>
              <w:jc w:val="center"/>
            </w:pPr>
            <w:r/>
            <w:r>
              <w:rPr>
                <w:rFonts w:ascii="宋体" w:hAnsi="宋体" w:eastAsia="宋体"/>
                <w:sz w:val="20"/>
              </w:rPr>
              <w:t>1.0667</w:t>
            </w:r>
          </w:p>
        </w:tc>
        <w:tc>
          <w:tcPr>
            <w:tcW w:type="dxa" w:w="2268"/>
          </w:tcPr>
          <w:p>
            <w:pPr>
              <w:jc w:val="center"/>
            </w:pPr>
            <w:r/>
            <w:r>
              <w:rPr>
                <w:rFonts w:ascii="宋体" w:hAnsi="宋体" w:eastAsia="宋体"/>
                <w:sz w:val="20"/>
              </w:rPr>
              <w:t>0.0067</w:t>
            </w:r>
          </w:p>
        </w:tc>
        <w:tc>
          <w:tcPr>
            <w:tcW w:type="dxa" w:w="2268"/>
          </w:tcPr>
          <w:p>
            <w:pPr>
              <w:jc w:val="center"/>
            </w:pPr>
            <w:r/>
            <w:r>
              <w:rPr>
                <w:rFonts w:ascii="宋体" w:hAnsi="宋体" w:eastAsia="宋体"/>
                <w:sz w:val="20"/>
              </w:rPr>
              <w:t>99.4%</w:t>
            </w:r>
          </w:p>
        </w:tc>
      </w:tr>
      <w:tr>
        <w:tc>
          <w:tcPr>
            <w:tcW w:type="dxa" w:w="2268"/>
          </w:tcPr>
          <w:p>
            <w:pPr>
              <w:jc w:val="center"/>
            </w:pPr>
            <w:r/>
            <w:r>
              <w:rPr>
                <w:rFonts w:ascii="宋体" w:hAnsi="宋体" w:eastAsia="宋体"/>
                <w:sz w:val="20"/>
              </w:rPr>
              <w:t>WC3 魔兽地图</w:t>
            </w:r>
          </w:p>
        </w:tc>
        <w:tc>
          <w:tcPr>
            <w:tcW w:type="dxa" w:w="2268"/>
          </w:tcPr>
          <w:p>
            <w:pPr>
              <w:jc w:val="center"/>
            </w:pPr>
            <w:r/>
            <w:r>
              <w:rPr>
                <w:rFonts w:ascii="宋体" w:hAnsi="宋体" w:eastAsia="宋体"/>
                <w:sz w:val="20"/>
              </w:rPr>
              <w:t>1.1000</w:t>
            </w:r>
          </w:p>
        </w:tc>
        <w:tc>
          <w:tcPr>
            <w:tcW w:type="dxa" w:w="2268"/>
          </w:tcPr>
          <w:p>
            <w:pPr>
              <w:jc w:val="center"/>
            </w:pPr>
            <w:r/>
            <w:r>
              <w:rPr>
                <w:rFonts w:ascii="宋体" w:hAnsi="宋体" w:eastAsia="宋体"/>
                <w:sz w:val="20"/>
              </w:rPr>
              <w:t>0.0200</w:t>
            </w:r>
          </w:p>
        </w:tc>
        <w:tc>
          <w:tcPr>
            <w:tcW w:type="dxa" w:w="2268"/>
          </w:tcPr>
          <w:p>
            <w:pPr>
              <w:jc w:val="center"/>
            </w:pPr>
            <w:r/>
            <w:r>
              <w:rPr>
                <w:rFonts w:ascii="宋体" w:hAnsi="宋体" w:eastAsia="宋体"/>
                <w:sz w:val="20"/>
              </w:rPr>
              <w:t>98.2%</w:t>
            </w:r>
          </w:p>
        </w:tc>
      </w:tr>
      <w:tr>
        <w:tc>
          <w:tcPr>
            <w:tcW w:type="dxa" w:w="2268"/>
          </w:tcPr>
          <w:p>
            <w:pPr>
              <w:jc w:val="center"/>
            </w:pPr>
            <w:r/>
            <w:r>
              <w:rPr>
                <w:rFonts w:ascii="宋体" w:hAnsi="宋体" w:eastAsia="宋体"/>
                <w:sz w:val="20"/>
              </w:rPr>
              <w:t>全局平均</w:t>
            </w:r>
          </w:p>
        </w:tc>
        <w:tc>
          <w:tcPr>
            <w:tcW w:type="dxa" w:w="2268"/>
          </w:tcPr>
          <w:p>
            <w:pPr>
              <w:jc w:val="center"/>
            </w:pPr>
            <w:r/>
            <w:r>
              <w:rPr>
                <w:rFonts w:ascii="宋体" w:hAnsi="宋体" w:eastAsia="宋体"/>
                <w:sz w:val="20"/>
              </w:rPr>
              <w:t>1.1311</w:t>
            </w:r>
          </w:p>
        </w:tc>
        <w:tc>
          <w:tcPr>
            <w:tcW w:type="dxa" w:w="2268"/>
          </w:tcPr>
          <w:p>
            <w:pPr>
              <w:jc w:val="center"/>
            </w:pPr>
            <w:r/>
            <w:r>
              <w:rPr>
                <w:rFonts w:ascii="宋体" w:hAnsi="宋体" w:eastAsia="宋体"/>
                <w:sz w:val="20"/>
              </w:rPr>
              <w:t>0.0267</w:t>
            </w:r>
          </w:p>
        </w:tc>
        <w:tc>
          <w:tcPr>
            <w:tcW w:type="dxa" w:w="2268"/>
          </w:tcPr>
          <w:p>
            <w:pPr>
              <w:jc w:val="center"/>
            </w:pPr>
            <w:r/>
            <w:r>
              <w:rPr>
                <w:rFonts w:ascii="宋体" w:hAnsi="宋体" w:eastAsia="宋体"/>
                <w:sz w:val="20"/>
              </w:rPr>
              <w:t>97.6%</w:t>
            </w:r>
          </w:p>
        </w:tc>
      </w:tr>
    </w:tbl>
    <w:p/>
    <w:p>
      <w:pPr>
        <w:ind w:firstLine="420"/>
      </w:pPr>
      <w:r>
        <w:rPr>
          <w:rFonts w:ascii="宋体" w:hAnsi="宋体" w:eastAsia="宋体"/>
          <w:sz w:val="24"/>
        </w:rPr>
        <w:t>近零转弯的路径可以显著减少机器人的方向变换次数，降低运动学代价和机械磨损（见图 2）。</w:t>
      </w:r>
    </w:p>
    <w:p>
      <w:pPr>
        <w:jc w:val="center"/>
      </w:pPr>
      <w:r>
        <w:drawing>
          <wp:inline xmlns:a="http://schemas.openxmlformats.org/drawingml/2006/main" xmlns:pic="http://schemas.openxmlformats.org/drawingml/2006/picture">
            <wp:extent cx="5029200" cy="2382607"/>
            <wp:docPr id="4" name="Picture 4"/>
            <wp:cNvGraphicFramePr>
              <a:graphicFrameLocks noChangeAspect="1"/>
            </wp:cNvGraphicFramePr>
            <a:graphic>
              <a:graphicData uri="http://schemas.openxmlformats.org/drawingml/2006/picture">
                <pic:pic>
                  <pic:nvPicPr>
                    <pic:cNvPr id="0" name="fig2_turncount_comparison_v3.png"/>
                    <pic:cNvPicPr/>
                  </pic:nvPicPr>
                  <pic:blipFill>
                    <a:blip r:embed="rId12"/>
                    <a:stretch>
                      <a:fillRect/>
                    </a:stretch>
                  </pic:blipFill>
                  <pic:spPr>
                    <a:xfrm>
                      <a:off x="0" y="0"/>
                      <a:ext cx="5029200" cy="2382607"/>
                    </a:xfrm>
                    <a:prstGeom prst="rect"/>
                  </pic:spPr>
                </pic:pic>
              </a:graphicData>
            </a:graphic>
          </wp:inline>
        </w:drawing>
      </w:r>
    </w:p>
    <w:p>
      <w:pPr>
        <w:spacing w:after="160"/>
        <w:jc w:val="center"/>
      </w:pPr>
      <w:r>
        <w:rPr>
          <w:rFonts w:ascii="宋体" w:hAnsi="宋体" w:eastAsia="宋体"/>
          <w:sz w:val="20"/>
        </w:rPr>
        <w:t>图 2  各算法转弯次数对比（按地图类型）</w:t>
      </w:r>
    </w:p>
    <w:p>
      <w:pPr>
        <w:pStyle w:val="Heading2"/>
      </w:pPr>
      <w:r>
        <w:t>5.3 消融实验分析</w:t>
      </w:r>
    </w:p>
    <w:p>
      <w:pPr>
        <w:ind w:firstLine="420"/>
      </w:pPr>
      <w:r>
        <w:rPr>
          <w:rFonts w:ascii="宋体" w:hAnsi="宋体" w:eastAsia="宋体"/>
          <w:sz w:val="24"/>
        </w:rPr>
        <w:t>表 5-3 消融实验结果（全局 15 张地图均值）</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sz w:val="20"/>
              </w:rPr>
              <w:t>配置</w:t>
            </w:r>
          </w:p>
        </w:tc>
        <w:tc>
          <w:tcPr>
            <w:tcW w:type="dxa" w:w="1814"/>
          </w:tcPr>
          <w:p>
            <w:pPr>
              <w:jc w:val="center"/>
            </w:pPr>
            <w:r/>
            <w:r>
              <w:rPr>
                <w:rFonts w:ascii="宋体" w:hAnsi="宋体" w:eastAsia="宋体"/>
                <w:b/>
                <w:sz w:val="20"/>
              </w:rPr>
              <w:t>运行时间 (ms)</w:t>
            </w:r>
          </w:p>
        </w:tc>
        <w:tc>
          <w:tcPr>
            <w:tcW w:type="dxa" w:w="1814"/>
          </w:tcPr>
          <w:p>
            <w:pPr>
              <w:jc w:val="center"/>
            </w:pPr>
            <w:r/>
            <w:r>
              <w:rPr>
                <w:rFonts w:ascii="宋体" w:hAnsi="宋体" w:eastAsia="宋体"/>
                <w:b/>
                <w:sz w:val="20"/>
              </w:rPr>
              <w:t>路径长度</w:t>
            </w:r>
          </w:p>
        </w:tc>
        <w:tc>
          <w:tcPr>
            <w:tcW w:type="dxa" w:w="1814"/>
          </w:tcPr>
          <w:p>
            <w:pPr>
              <w:jc w:val="center"/>
            </w:pPr>
            <w:r/>
            <w:r>
              <w:rPr>
                <w:rFonts w:ascii="宋体" w:hAnsi="宋体" w:eastAsia="宋体"/>
                <w:b/>
                <w:sz w:val="20"/>
              </w:rPr>
              <w:t>转弯次数</w:t>
            </w:r>
          </w:p>
        </w:tc>
        <w:tc>
          <w:tcPr>
            <w:tcW w:type="dxa" w:w="1814"/>
          </w:tcPr>
          <w:p>
            <w:pPr>
              <w:jc w:val="center"/>
            </w:pPr>
            <w:r/>
            <w:r>
              <w:rPr>
                <w:rFonts w:ascii="宋体" w:hAnsi="宋体" w:eastAsia="宋体"/>
                <w:b/>
                <w:sz w:val="20"/>
              </w:rPr>
              <w:t>扩展节点数</w:t>
            </w:r>
          </w:p>
        </w:tc>
      </w:tr>
      <w:tr>
        <w:tc>
          <w:tcPr>
            <w:tcW w:type="dxa" w:w="1814"/>
          </w:tcPr>
          <w:p>
            <w:pPr>
              <w:jc w:val="center"/>
            </w:pPr>
            <w:r/>
            <w:r>
              <w:rPr>
                <w:rFonts w:ascii="宋体" w:hAnsi="宋体" w:eastAsia="宋体"/>
                <w:sz w:val="20"/>
              </w:rPr>
              <w:t>完整改进 A*（本文）</w:t>
            </w:r>
          </w:p>
        </w:tc>
        <w:tc>
          <w:tcPr>
            <w:tcW w:type="dxa" w:w="1814"/>
          </w:tcPr>
          <w:p>
            <w:pPr>
              <w:jc w:val="center"/>
            </w:pPr>
            <w:r/>
            <w:r>
              <w:rPr>
                <w:rFonts w:ascii="宋体" w:hAnsi="宋体" w:eastAsia="宋体"/>
                <w:sz w:val="20"/>
              </w:rPr>
              <w:t>0.04257</w:t>
            </w:r>
          </w:p>
        </w:tc>
        <w:tc>
          <w:tcPr>
            <w:tcW w:type="dxa" w:w="1814"/>
          </w:tcPr>
          <w:p>
            <w:pPr>
              <w:jc w:val="center"/>
            </w:pPr>
            <w:r/>
            <w:r>
              <w:rPr>
                <w:rFonts w:ascii="宋体" w:hAnsi="宋体" w:eastAsia="宋体"/>
                <w:sz w:val="20"/>
              </w:rPr>
              <w:t>5.8635</w:t>
            </w:r>
          </w:p>
        </w:tc>
        <w:tc>
          <w:tcPr>
            <w:tcW w:type="dxa" w:w="1814"/>
          </w:tcPr>
          <w:p>
            <w:pPr>
              <w:jc w:val="center"/>
            </w:pPr>
            <w:r/>
            <w:r>
              <w:rPr>
                <w:rFonts w:ascii="宋体" w:hAnsi="宋体" w:eastAsia="宋体"/>
                <w:sz w:val="20"/>
              </w:rPr>
              <w:t>0.0267</w:t>
            </w:r>
          </w:p>
        </w:tc>
        <w:tc>
          <w:tcPr>
            <w:tcW w:type="dxa" w:w="1814"/>
          </w:tcPr>
          <w:p>
            <w:pPr>
              <w:jc w:val="center"/>
            </w:pPr>
            <w:r/>
            <w:r>
              <w:rPr>
                <w:rFonts w:ascii="宋体" w:hAnsi="宋体" w:eastAsia="宋体"/>
                <w:sz w:val="20"/>
              </w:rPr>
              <w:t>7.54</w:t>
            </w:r>
          </w:p>
        </w:tc>
      </w:tr>
      <w:tr>
        <w:tc>
          <w:tcPr>
            <w:tcW w:type="dxa" w:w="1814"/>
          </w:tcPr>
          <w:p>
            <w:pPr>
              <w:jc w:val="center"/>
            </w:pPr>
            <w:r/>
            <w:r>
              <w:rPr>
                <w:rFonts w:ascii="宋体" w:hAnsi="宋体" w:eastAsia="宋体"/>
                <w:sz w:val="20"/>
              </w:rPr>
              <w:t>消融：无自适应权重</w:t>
            </w:r>
          </w:p>
        </w:tc>
        <w:tc>
          <w:tcPr>
            <w:tcW w:type="dxa" w:w="1814"/>
          </w:tcPr>
          <w:p>
            <w:pPr>
              <w:jc w:val="center"/>
            </w:pPr>
            <w:r/>
            <w:r>
              <w:rPr>
                <w:rFonts w:ascii="宋体" w:hAnsi="宋体" w:eastAsia="宋体"/>
                <w:sz w:val="20"/>
              </w:rPr>
              <w:t>0.04603</w:t>
            </w:r>
          </w:p>
        </w:tc>
        <w:tc>
          <w:tcPr>
            <w:tcW w:type="dxa" w:w="1814"/>
          </w:tcPr>
          <w:p>
            <w:pPr>
              <w:jc w:val="center"/>
            </w:pPr>
            <w:r/>
            <w:r>
              <w:rPr>
                <w:rFonts w:ascii="宋体" w:hAnsi="宋体" w:eastAsia="宋体"/>
                <w:sz w:val="20"/>
              </w:rPr>
              <w:t>5.8634</w:t>
            </w:r>
          </w:p>
        </w:tc>
        <w:tc>
          <w:tcPr>
            <w:tcW w:type="dxa" w:w="1814"/>
          </w:tcPr>
          <w:p>
            <w:pPr>
              <w:jc w:val="center"/>
            </w:pPr>
            <w:r/>
            <w:r>
              <w:rPr>
                <w:rFonts w:ascii="宋体" w:hAnsi="宋体" w:eastAsia="宋体"/>
                <w:sz w:val="20"/>
              </w:rPr>
              <w:t>0.0244</w:t>
            </w:r>
          </w:p>
        </w:tc>
        <w:tc>
          <w:tcPr>
            <w:tcW w:type="dxa" w:w="1814"/>
          </w:tcPr>
          <w:p>
            <w:pPr>
              <w:jc w:val="center"/>
            </w:pPr>
            <w:r/>
            <w:r>
              <w:rPr>
                <w:rFonts w:ascii="宋体" w:hAnsi="宋体" w:eastAsia="宋体"/>
                <w:sz w:val="20"/>
              </w:rPr>
              <w:t>8.11</w:t>
            </w:r>
          </w:p>
        </w:tc>
      </w:tr>
      <w:tr>
        <w:tc>
          <w:tcPr>
            <w:tcW w:type="dxa" w:w="1814"/>
          </w:tcPr>
          <w:p>
            <w:pPr>
              <w:jc w:val="center"/>
            </w:pPr>
            <w:r/>
            <w:r>
              <w:rPr>
                <w:rFonts w:ascii="宋体" w:hAnsi="宋体" w:eastAsia="宋体"/>
                <w:sz w:val="20"/>
              </w:rPr>
              <w:t>消融：无路径平滑</w:t>
            </w:r>
          </w:p>
        </w:tc>
        <w:tc>
          <w:tcPr>
            <w:tcW w:type="dxa" w:w="1814"/>
          </w:tcPr>
          <w:p>
            <w:pPr>
              <w:jc w:val="center"/>
            </w:pPr>
            <w:r/>
            <w:r>
              <w:rPr>
                <w:rFonts w:ascii="宋体" w:hAnsi="宋体" w:eastAsia="宋体"/>
                <w:sz w:val="20"/>
              </w:rPr>
              <w:t>0.04296</w:t>
            </w:r>
          </w:p>
        </w:tc>
        <w:tc>
          <w:tcPr>
            <w:tcW w:type="dxa" w:w="1814"/>
          </w:tcPr>
          <w:p>
            <w:pPr>
              <w:jc w:val="center"/>
            </w:pPr>
            <w:r/>
            <w:r>
              <w:rPr>
                <w:rFonts w:ascii="宋体" w:hAnsi="宋体" w:eastAsia="宋体"/>
                <w:sz w:val="20"/>
              </w:rPr>
              <w:t>6.1624</w:t>
            </w:r>
          </w:p>
        </w:tc>
        <w:tc>
          <w:tcPr>
            <w:tcW w:type="dxa" w:w="1814"/>
          </w:tcPr>
          <w:p>
            <w:pPr>
              <w:jc w:val="center"/>
            </w:pPr>
            <w:r/>
            <w:r>
              <w:rPr>
                <w:rFonts w:ascii="宋体" w:hAnsi="宋体" w:eastAsia="宋体"/>
                <w:sz w:val="20"/>
              </w:rPr>
              <w:t>0.9911</w:t>
            </w:r>
          </w:p>
        </w:tc>
        <w:tc>
          <w:tcPr>
            <w:tcW w:type="dxa" w:w="1814"/>
          </w:tcPr>
          <w:p>
            <w:pPr>
              <w:jc w:val="center"/>
            </w:pPr>
            <w:r/>
            <w:r>
              <w:rPr>
                <w:rFonts w:ascii="宋体" w:hAnsi="宋体" w:eastAsia="宋体"/>
                <w:sz w:val="20"/>
              </w:rPr>
              <w:t>7.54</w:t>
            </w:r>
          </w:p>
        </w:tc>
      </w:tr>
      <w:tr>
        <w:tc>
          <w:tcPr>
            <w:tcW w:type="dxa" w:w="1814"/>
          </w:tcPr>
          <w:p>
            <w:pPr>
              <w:jc w:val="center"/>
            </w:pPr>
            <w:r/>
            <w:r>
              <w:rPr>
                <w:rFonts w:ascii="宋体" w:hAnsi="宋体" w:eastAsia="宋体"/>
                <w:sz w:val="20"/>
              </w:rPr>
              <w:t>传统 A*（基线）</w:t>
            </w:r>
          </w:p>
        </w:tc>
        <w:tc>
          <w:tcPr>
            <w:tcW w:type="dxa" w:w="1814"/>
          </w:tcPr>
          <w:p>
            <w:pPr>
              <w:jc w:val="center"/>
            </w:pPr>
            <w:r/>
            <w:r>
              <w:rPr>
                <w:rFonts w:ascii="宋体" w:hAnsi="宋体" w:eastAsia="宋体"/>
                <w:sz w:val="20"/>
              </w:rPr>
              <w:t>0.04866</w:t>
            </w:r>
          </w:p>
        </w:tc>
        <w:tc>
          <w:tcPr>
            <w:tcW w:type="dxa" w:w="1814"/>
          </w:tcPr>
          <w:p>
            <w:pPr>
              <w:jc w:val="center"/>
            </w:pPr>
            <w:r/>
            <w:r>
              <w:rPr>
                <w:rFonts w:ascii="宋体" w:hAnsi="宋体" w:eastAsia="宋体"/>
                <w:sz w:val="20"/>
              </w:rPr>
              <w:t>6.1624</w:t>
            </w:r>
          </w:p>
        </w:tc>
        <w:tc>
          <w:tcPr>
            <w:tcW w:type="dxa" w:w="1814"/>
          </w:tcPr>
          <w:p>
            <w:pPr>
              <w:jc w:val="center"/>
            </w:pPr>
            <w:r/>
            <w:r>
              <w:rPr>
                <w:rFonts w:ascii="宋体" w:hAnsi="宋体" w:eastAsia="宋体"/>
                <w:sz w:val="20"/>
              </w:rPr>
              <w:t>1.1311</w:t>
            </w:r>
          </w:p>
        </w:tc>
        <w:tc>
          <w:tcPr>
            <w:tcW w:type="dxa" w:w="1814"/>
          </w:tcPr>
          <w:p>
            <w:pPr>
              <w:jc w:val="center"/>
            </w:pPr>
            <w:r/>
            <w:r>
              <w:rPr>
                <w:rFonts w:ascii="宋体" w:hAnsi="宋体" w:eastAsia="宋体"/>
                <w:sz w:val="20"/>
              </w:rPr>
              <w:t>8.11</w:t>
            </w:r>
          </w:p>
        </w:tc>
      </w:tr>
    </w:tbl>
    <w:p/>
    <w:p>
      <w:pPr>
        <w:ind w:firstLine="420"/>
      </w:pPr>
      <w:r>
        <w:rPr>
          <w:rFonts w:ascii="宋体" w:hAnsi="宋体" w:eastAsia="宋体"/>
          <w:sz w:val="24"/>
        </w:rPr>
        <w:t>结论一：自适应权重是运行时间改善的主要来源。 去掉自适应权重后，运行时间增加约 8.1%，扩展节点数增加约 7.6%，而路径质量几乎不受影响。值得注意的是，消融组（无自适应权重，固定 \alpha=1.0）的转弯次数（0.0244）略低于完整模型（0.0267），这是由于 \alpha=1.0 时搜索更为保守，路径回溯结果与自适应权重略有差异，经同一路径平滑策略处理后出现微小波动；两者均接近零，差异在统计上不显著（p&gt;0.05）。</w:t>
      </w:r>
    </w:p>
    <w:p>
      <w:pPr>
        <w:ind w:firstLine="420"/>
      </w:pPr>
      <w:r>
        <w:rPr>
          <w:rFonts w:ascii="宋体" w:hAnsi="宋体" w:eastAsia="宋体"/>
          <w:sz w:val="24"/>
        </w:rPr>
        <w:t>结论二：路径平滑是路径质量改善的主要来源。 去掉路径平滑后，转弯次数从 0.027 次回升至 0.991 次（接近传统 A* 的 1.131 次），路径长度也恢复至与传统 A* 相同水平。</w:t>
      </w:r>
    </w:p>
    <w:p>
      <w:pPr>
        <w:ind w:firstLine="420"/>
      </w:pPr>
      <w:r>
        <w:rPr>
          <w:rFonts w:ascii="宋体" w:hAnsi="宋体" w:eastAsia="宋体"/>
          <w:sz w:val="24"/>
        </w:rPr>
        <w:t>两个模块的贡献是正交的：自适应权重主要影响搜索效率，路径平滑主要影响路径质量，两者协同作用才能同时在速度和质量两个维度上取得改进（见图 3）。</w:t>
      </w:r>
    </w:p>
    <w:p>
      <w:pPr>
        <w:jc w:val="center"/>
      </w:pPr>
      <w:r>
        <w:drawing>
          <wp:inline xmlns:a="http://schemas.openxmlformats.org/drawingml/2006/main" xmlns:pic="http://schemas.openxmlformats.org/drawingml/2006/picture">
            <wp:extent cx="5029200" cy="4022015"/>
            <wp:docPr id="5" name="Picture 5"/>
            <wp:cNvGraphicFramePr>
              <a:graphicFrameLocks noChangeAspect="1"/>
            </wp:cNvGraphicFramePr>
            <a:graphic>
              <a:graphicData uri="http://schemas.openxmlformats.org/drawingml/2006/picture">
                <pic:pic>
                  <pic:nvPicPr>
                    <pic:cNvPr id="0" name="fig3_ablation_study_v3.png"/>
                    <pic:cNvPicPr/>
                  </pic:nvPicPr>
                  <pic:blipFill>
                    <a:blip r:embed="rId13"/>
                    <a:stretch>
                      <a:fillRect/>
                    </a:stretch>
                  </pic:blipFill>
                  <pic:spPr>
                    <a:xfrm>
                      <a:off x="0" y="0"/>
                      <a:ext cx="5029200" cy="4022015"/>
                    </a:xfrm>
                    <a:prstGeom prst="rect"/>
                  </pic:spPr>
                </pic:pic>
              </a:graphicData>
            </a:graphic>
          </wp:inline>
        </w:drawing>
      </w:r>
    </w:p>
    <w:p>
      <w:pPr>
        <w:spacing w:after="160"/>
        <w:jc w:val="center"/>
      </w:pPr>
      <w:r>
        <w:rPr>
          <w:rFonts w:ascii="宋体" w:hAnsi="宋体" w:eastAsia="宋体"/>
          <w:sz w:val="20"/>
        </w:rPr>
        <w:t>图 3  消融实验结果（全局15张地图均值）</w:t>
      </w:r>
    </w:p>
    <w:p>
      <w:pPr>
        <w:pStyle w:val="Heading2"/>
      </w:pPr>
      <w:r>
        <w:t>5.4 讨论</w:t>
      </w:r>
    </w:p>
    <w:p>
      <w:pPr>
        <w:ind w:firstLine="420"/>
      </w:pPr>
      <w:r>
        <w:rPr>
          <w:rFonts w:ascii="宋体" w:hAnsi="宋体" w:eastAsia="宋体"/>
          <w:sz w:val="24"/>
        </w:rPr>
        <w:t>关于运行时间改善的差异性。 Street 地图的障碍率较低，自适应权重 \alpha 取值较高（约 1.4–1.8），搜索偏向性强，加速效果显著；WC3 地图障碍率较高，\alpha 趋近于下界 1.0，算法退化为标准 A*，加速效果有限。这一现象与本文的理论预期吻合。</w:t>
      </w:r>
    </w:p>
    <w:p>
      <w:pPr>
        <w:ind w:firstLine="420"/>
      </w:pPr>
      <w:r>
        <w:rPr>
          <w:rFonts w:ascii="宋体" w:hAnsi="宋体" w:eastAsia="宋体"/>
          <w:sz w:val="24"/>
        </w:rPr>
        <w:t>关于算法的适用场景与局限性。 本文算法适用于静态已知地图、8 邻域栅格、离线规划场景。在动态障碍物场景下，算法需要配合重规划机制。路径平滑策略基于离散栅格坐标的加权平均，生成的路径仍为折线而非连续曲线，对于需要曲率连续轨迹的高速机器人平台，可能需要进一步结合样条曲线拟合。</w:t>
      </w:r>
    </w:p>
    <w:p>
      <w:pPr>
        <w:ind w:firstLine="420"/>
      </w:pPr>
      <w:r>
        <w:rPr>
          <w:rFonts w:ascii="宋体" w:hAnsi="宋体" w:eastAsia="宋体"/>
          <w:sz w:val="24"/>
        </w:rPr>
        <w:t>关于实验的可重复性。 本文所有实验均采用 Moving AI Lab 官方 .scen 文件指定的固定起终点任务，实验脚本和数据文件已在仓库中公开，可在相同环境下完整复现。</w:t>
      </w:r>
    </w:p>
    <w:p>
      <w:pPr>
        <w:ind w:firstLine="420"/>
      </w:pPr>
      <w:r>
        <w:rPr>
          <w:rFonts w:ascii="宋体" w:hAnsi="宋体" w:eastAsia="宋体"/>
          <w:sz w:val="24"/>
        </w:rPr>
        <w:t>关于与现有工作的性能比较。 本文 12.7% 的运行时间改善幅度低于部分文献报告的数值（如尧尹柱等[8]报告的 84.33%），这一差异源于实验条件的本质不同：尧尹柱等使用 50×50 的小规模栅格地图，而本文使用 Moving AI Lab 真实地图（规模从 256×256 到 1024×1024 不等），地图规模越大，算法间的相对差距越趋于收敛；此外，本文采用 strict scen 固定任务文件，避免了随机起终点带来的结果波动。因此，不同研究间的直接数值比较需结合实验条件审慎解读。</w:t>
      </w:r>
    </w:p>
    <w:p>
      <w:pPr>
        <w:pStyle w:val="Heading1"/>
      </w:pPr>
      <w:r>
        <w:t>结论与展望</w:t>
      </w:r>
    </w:p>
    <w:p>
      <w:pPr>
        <w:pStyle w:val="Heading2"/>
      </w:pPr>
      <w:r>
        <w:t>6.1 工作总结</w:t>
      </w:r>
    </w:p>
    <w:p>
      <w:pPr>
        <w:ind w:firstLine="420"/>
      </w:pPr>
      <w:r>
        <w:rPr>
          <w:rFonts w:ascii="宋体" w:hAnsi="宋体" w:eastAsia="宋体"/>
          <w:sz w:val="24"/>
        </w:rPr>
        <w:t>本文针对标准 A* 算法在 8 邻域栅格地图中的局限性，提出了一种综合改进的路径规划算法，包含三个核心模块：基于 Octile 距离的精确启发函数、基于地图障碍率的自适应权重机制，以及视线简化与拐角插值平滑相结合的两阶段路径后处理策略。</w:t>
      </w:r>
    </w:p>
    <w:p>
      <w:pPr>
        <w:ind w:firstLine="420"/>
      </w:pPr>
      <w:r>
        <w:rPr>
          <w:rFonts w:ascii="宋体" w:hAnsi="宋体" w:eastAsia="宋体"/>
          <w:sz w:val="24"/>
        </w:rPr>
        <w:t>在 Moving AI Lab 标准基准地图集的 15 张真实地图上的实验结果表明，改进 A* 算法在运行时间上平均比传统 A* 快 12.7%（运行时间比值 0.8728x），路径长度平均缩短 4.9%（绝对减少 0.299），转弯次数平均减少 97.6%（从 1.131 次降至 0.027 次），且 15 张地图全部呈正向改进，无退化案例。消融实验验证了自适应权重（运行时间改善来源）与路径平滑（路径质量改善来源）的正交贡献。</w:t>
      </w:r>
    </w:p>
    <w:p>
      <w:pPr>
        <w:pStyle w:val="Heading2"/>
      </w:pPr>
      <w:r>
        <w:t>6.2 主要结论</w:t>
      </w:r>
    </w:p>
    <w:p>
      <w:pPr>
        <w:ind w:firstLine="420"/>
      </w:pPr>
      <w:r>
        <w:rPr>
          <w:rFonts w:ascii="宋体" w:hAnsi="宋体" w:eastAsia="宋体"/>
          <w:sz w:val="24"/>
        </w:rPr>
        <w:t>(1) Octile 距离结合自适应权重可有效提升搜索效率，去掉后运行时间增加约 8.1%。</w:t>
      </w:r>
    </w:p>
    <w:p>
      <w:pPr>
        <w:ind w:firstLine="420"/>
      </w:pPr>
      <w:r>
        <w:rPr>
          <w:rFonts w:ascii="宋体" w:hAnsi="宋体" w:eastAsia="宋体"/>
          <w:sz w:val="24"/>
        </w:rPr>
        <w:t>(2) 两阶段路径后处理是路径质量提升的主要来源，去掉后转弯次数回升至传统 A* 水平。</w:t>
      </w:r>
    </w:p>
    <w:p>
      <w:pPr>
        <w:ind w:firstLine="420"/>
      </w:pPr>
      <w:r>
        <w:rPr>
          <w:rFonts w:ascii="宋体" w:hAnsi="宋体" w:eastAsia="宋体"/>
          <w:sz w:val="24"/>
        </w:rPr>
        <w:t>(3) 路径平滑中的障碍物碰撞检测是保证物理合法性的必要条件。</w:t>
      </w:r>
    </w:p>
    <w:p>
      <w:pPr>
        <w:ind w:firstLine="420"/>
      </w:pPr>
      <w:r>
        <w:rPr>
          <w:rFonts w:ascii="宋体" w:hAnsi="宋体" w:eastAsia="宋体"/>
          <w:sz w:val="24"/>
        </w:rPr>
        <w:t>(4) 改进效果在不同地图类型上存在差异，Street 城市地图上运行时间改善最为显著（快 23.9%），而路径质量改善在三类地图上保持一致。</w:t>
      </w:r>
    </w:p>
    <w:p>
      <w:pPr>
        <w:pStyle w:val="Heading2"/>
      </w:pPr>
      <w:r>
        <w:t>6.3 研究局限性</w:t>
      </w:r>
    </w:p>
    <w:p>
      <w:pPr>
        <w:ind w:firstLine="420"/>
      </w:pPr>
      <w:r>
        <w:rPr>
          <w:rFonts w:ascii="宋体" w:hAnsi="宋体" w:eastAsia="宋体"/>
          <w:sz w:val="24"/>
        </w:rPr>
        <w:t>(1) 算法仅适用于静态地图，不适用于动态障碍物场景。</w:t>
      </w:r>
    </w:p>
    <w:p>
      <w:pPr>
        <w:ind w:firstLine="420"/>
      </w:pPr>
      <w:r>
        <w:rPr>
          <w:rFonts w:ascii="宋体" w:hAnsi="宋体" w:eastAsia="宋体"/>
          <w:sz w:val="24"/>
        </w:rPr>
        <w:t>(2) 路径平滑未考虑机器人运动学约束（如最小转弯半径）。</w:t>
      </w:r>
    </w:p>
    <w:p>
      <w:pPr>
        <w:ind w:firstLine="420"/>
      </w:pPr>
      <w:r>
        <w:rPr>
          <w:rFonts w:ascii="宋体" w:hAnsi="宋体" w:eastAsia="宋体"/>
          <w:sz w:val="24"/>
        </w:rPr>
        <w:t>(3) 实验在单机环境下运行，计算时间受系统负载影响存在一定波动。</w:t>
      </w:r>
    </w:p>
    <w:p>
      <w:pPr>
        <w:pStyle w:val="Heading2"/>
      </w:pPr>
      <w:r>
        <w:t>6.4 未来工作展望</w:t>
      </w:r>
    </w:p>
    <w:p>
      <w:pPr>
        <w:ind w:firstLine="420"/>
      </w:pPr>
      <w:r>
        <w:rPr>
          <w:rFonts w:ascii="宋体" w:hAnsi="宋体" w:eastAsia="宋体"/>
          <w:sz w:val="24"/>
        </w:rPr>
        <w:t>(1) 将自适应权重机制扩展到动态环境，实现增量式路径重规划。</w:t>
      </w:r>
    </w:p>
    <w:p>
      <w:pPr>
        <w:ind w:firstLine="420"/>
      </w:pPr>
      <w:r>
        <w:rPr>
          <w:rFonts w:ascii="宋体" w:hAnsi="宋体" w:eastAsia="宋体"/>
          <w:sz w:val="24"/>
        </w:rPr>
        <w:t>(2) 利用深度学习方法从历史路径数据中学习更精确的启发函数。</w:t>
      </w:r>
    </w:p>
    <w:p>
      <w:pPr>
        <w:ind w:firstLine="420"/>
      </w:pPr>
      <w:r>
        <w:rPr>
          <w:rFonts w:ascii="宋体" w:hAnsi="宋体" w:eastAsia="宋体"/>
          <w:sz w:val="24"/>
        </w:rPr>
        <w:t>(3) 将本文方法扩展到三维空间路径规划和非均匀代价地图。</w:t>
      </w:r>
    </w:p>
    <w:p>
      <w:pPr>
        <w:ind w:firstLine="420"/>
      </w:pPr>
      <w:r>
        <w:rPr>
          <w:rFonts w:ascii="宋体" w:hAnsi="宋体" w:eastAsia="宋体"/>
          <w:sz w:val="24"/>
        </w:rPr>
        <w:t>(4) 探索多机器人协同路径规划场景下的应用。</w:t>
      </w:r>
    </w:p>
    <w:p>
      <w:pPr>
        <w:pStyle w:val="Heading1"/>
      </w:pPr>
      <w:r>
        <w:t>参考文献</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