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left"/>
      </w:pPr>
      <w:r>
        <w:rPr>
          <w:rFonts w:ascii="微软雅黑" w:hAnsi="微软雅黑"/>
          <w:b w:val="0"/>
          <w:color w:val="1565C0"/>
          <w:sz w:val="28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地级市人工智能公共服务平台</w:t>
      </w:r>
      <w:r>
        <w:rPr>
          <w:rFonts w:ascii="微软雅黑" w:hAnsi="微软雅黑"/>
          <w:b w:val="0"/>
          <w:color w:val="1565C0"/>
          <w:sz w:val="28"/>
        </w:rPr>
        <w:t xml:space="preserve"> · AI</w:t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工作台</w:t>
      </w:r>
    </w:p>
    <w:p>
      <w:pPr>
        <w:pStyle w:val="Heading1"/>
        <w:spacing w:after="20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40"/>
          <w:lang w:eastAsia="zh-CN"/>
        </w:rPr>
        <w:t>AI工作台（AIOA）产品架构概要方案</w:t>
      </w:r>
    </w:p>
    <w:p>
      <w:pPr>
        <w:spacing w:after="55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智能体时代的协同办公平台</w:t>
      </w:r>
      <w:r>
        <w:rPr>
          <w:color w:val="616161"/>
          <w:sz w:val="22"/>
        </w:rPr>
        <w:t>——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对象模型基线与系统构造（概要设计）</w:t>
      </w:r>
    </w:p>
    <w:p>
      <w:pPr>
        <w:jc w:val="left"/>
      </w:pPr>
      <w:r>
        <w:t>AI</w:t>
      </w:r>
      <w:r>
        <w:rPr>
          <w:rFonts w:ascii="微软雅黑" w:eastAsia="微软雅黑" w:hAnsi="微软雅黑" w:cs="微软雅黑" w:hint="eastAsia"/>
          <w:lang w:eastAsia="zh-CN"/>
        </w:rPr>
        <w:t>工作台项目组</w:t>
      </w:r>
      <w:r>
        <w:t xml:space="preserve"> | 2026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>9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| V1.1</w:t>
      </w:r>
      <w:r>
        <w:rPr>
          <w:rFonts w:ascii="微软雅黑" w:eastAsia="微软雅黑" w:hAnsi="微软雅黑" w:cs="微软雅黑" w:hint="eastAsia"/>
          <w:lang w:eastAsia="zh-CN"/>
        </w:rPr>
        <w:t>（产品基线版）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80"/>
      </w:pPr>
      <w:r/>
      <w:r>
        <w:t>目录</w:t>
      </w:r>
    </w:p>
    <w:p>
      <w:hyperlink w:anchor="_Toc_s1">
        <w:r>
          <w:rPr>
            <w:rFonts w:hint="eastAsia"/>
            <w:color w:val="000000"/>
            <w:u w:val="none"/>
          </w:rPr>
          <w:t xml:space="preserve">一、产品定位与设计理念（AIOA）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二、对象模型基线：五域 41 实体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三、实体关系总览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四、总体架构：六横两纵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五、系统构造（技术架构概要）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六、核心业务场景闭环</w:t>
        </w:r>
      </w:hyperlink>
    </w:p>
    <w:p>
      <w:hyperlink w:anchor="_Toc_s7">
        <w:r>
          <w:rPr>
            <w:rFonts w:hint="eastAsia"/>
            <w:color w:val="000000"/>
            <w:u w:val="none"/>
          </w:rPr>
          <w:t xml:space="preserve">七、非功能性要求概要</w:t>
        </w:r>
      </w:hyperlink>
    </w:p>
    <w:p>
      <w:hyperlink w:anchor="_Toc_s8">
        <w:r>
          <w:rPr>
            <w:rFonts w:hint="eastAsia"/>
            <w:color w:val="000000"/>
            <w:u w:val="none"/>
          </w:rPr>
          <w:t xml:space="preserve">八、实施路线概要</w:t>
        </w:r>
      </w:hyperlink>
    </w:p>
    <w:p>
      <w:hyperlink w:anchor="_Toc_appendix">
        <w:r>
          <w:rPr>
            <w:rFonts w:hint="eastAsia"/>
            <w:color w:val="000000"/>
            <w:u w:val="none"/>
          </w:rPr>
          <w:t xml:space="preserve">附录：五域 41 实体清单总表</w:t>
        </w:r>
      </w:hyperlink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编制说明</w:t>
      </w:r>
    </w:p>
    <w:p>
      <w:pPr>
        <w:spacing w:after="120"/>
      </w:pPr>
      <w:r>
        <w:rPr>
          <w:i/>
          <w:color w:val="616161"/>
          <w:sz w:val="16"/>
        </w:rPr>
        <w:t xml:space="preserve">AIOA · </w:t>
      </w:r>
      <w:r>
        <w:rPr>
          <w:rFonts w:ascii="微软雅黑" w:eastAsia="微软雅黑" w:hAnsi="微软雅黑" w:cs="微软雅黑" w:hint="eastAsia"/>
          <w:i/>
          <w:color w:val="616161"/>
          <w:sz w:val="16"/>
          <w:lang w:eastAsia="zh-CN"/>
        </w:rPr>
        <w:t>产品基线</w:t>
      </w:r>
      <w:r>
        <w:rPr>
          <w:i/>
          <w:color w:val="616161"/>
          <w:sz w:val="16"/>
        </w:rPr>
        <w:t xml:space="preserve"> V1.1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本方案是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工作台（</w:t>
      </w:r>
      <w:r>
        <w:t>AIOA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Agentic Office Automation</w:t>
      </w:r>
      <w:r>
        <w:rPr>
          <w:rFonts w:ascii="微软雅黑" w:eastAsia="微软雅黑" w:hAnsi="微软雅黑" w:cs="微软雅黑" w:hint="eastAsia"/>
          <w:lang w:eastAsia="zh-CN"/>
        </w:rPr>
        <w:t>，智能体时代的协同办公平台）的产品架构概要基线文档，面向地级市人工智能公共服务平台的建设与评审。方案以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五域</w:t>
      </w:r>
      <w:r>
        <w:t xml:space="preserve"> 41 </w:t>
      </w:r>
      <w:r>
        <w:rPr>
          <w:rFonts w:ascii="微软雅黑" w:eastAsia="微软雅黑" w:hAnsi="微软雅黑" w:cs="微软雅黑" w:hint="eastAsia"/>
          <w:lang w:eastAsia="zh-CN"/>
        </w:rPr>
        <w:t>实体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的对象模型为基线，完整给出实体构成、实体关系总览、总体架构（六横两纵）、系统构造概要与实施路线，作为技术方案详细设计、预算测算与工程实施的统一输入。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本文档与《</w:t>
      </w:r>
      <w:r>
        <w:t>AI</w:t>
      </w:r>
      <w:r>
        <w:rPr>
          <w:rFonts w:ascii="微软雅黑" w:eastAsia="微软雅黑" w:hAnsi="微软雅黑" w:cs="微软雅黑" w:hint="eastAsia"/>
          <w:lang w:eastAsia="zh-CN"/>
        </w:rPr>
        <w:t>工作台对象实体详细描述》（逐实体四要素定义）、《</w:t>
      </w:r>
      <w:r>
        <w:t xml:space="preserve">AIOA </w:t>
      </w:r>
      <w:r>
        <w:rPr>
          <w:rFonts w:ascii="微软雅黑" w:eastAsia="微软雅黑" w:hAnsi="微软雅黑" w:cs="微软雅黑" w:hint="eastAsia"/>
          <w:lang w:eastAsia="zh-CN"/>
        </w:rPr>
        <w:t>技术方案》（详细设计）、《</w:t>
      </w:r>
      <w:r>
        <w:t xml:space="preserve">AIOA </w:t>
      </w:r>
      <w:r>
        <w:rPr>
          <w:rFonts w:ascii="微软雅黑" w:eastAsia="微软雅黑" w:hAnsi="微软雅黑" w:cs="微软雅黑" w:hint="eastAsia"/>
          <w:lang w:eastAsia="zh-CN"/>
        </w:rPr>
        <w:t>可行性评估预算说明》（投资口径）共同构成产品文档体系；各文档间实体编号、域名与架构口径完全一致。</w:t>
      </w:r>
    </w:p>
    <w:p>
      <w:bookmarkStart w:id="9" w:name="_Toc_s1"/>
      <w:bookmarkStart w:id="0" w:name="s1"/>
      <w:pPr>
        <w:pStyle w:val="Heading2"/>
        <w:spacing w:before="550" w:after="165"/>
        <w:pBdr>
          <w:left w:val="single" w:sz="24" w:space="6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一、产品定位与设计理念（AIOA）</w:t>
      </w:r>
      <w:bookmarkEnd w:id="9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本节界定</w:t>
      </w:r>
      <w:r>
        <w:t xml:space="preserve"> AIOA </w:t>
      </w:r>
      <w:r>
        <w:rPr>
          <w:rFonts w:ascii="微软雅黑" w:eastAsia="微软雅黑" w:hAnsi="微软雅黑" w:cs="微软雅黑" w:hint="eastAsia"/>
          <w:lang w:eastAsia="zh-CN"/>
        </w:rPr>
        <w:t>的产品定位，阐明其相对传统协同办公平台的本质差异与设计原则，为对象模型与架构设计提供统领。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1.1 定位陈述</w:t>
      </w:r>
    </w:p>
    <w:p>
      <w:pPr>
        <w:spacing w:after="180"/>
      </w:pPr>
      <w:r>
        <w:t>AI</w:t>
      </w:r>
      <w:r>
        <w:rPr>
          <w:rFonts w:ascii="微软雅黑" w:eastAsia="微软雅黑" w:hAnsi="微软雅黑" w:cs="微软雅黑" w:hint="eastAsia"/>
          <w:lang w:eastAsia="zh-CN"/>
        </w:rPr>
        <w:t>工作台（</w:t>
      </w:r>
      <w:r>
        <w:t>AIOA</w:t>
      </w:r>
      <w:r>
        <w:rPr>
          <w:rFonts w:ascii="微软雅黑" w:eastAsia="微软雅黑" w:hAnsi="微软雅黑" w:cs="微软雅黑" w:hint="eastAsia"/>
          <w:lang w:eastAsia="zh-CN"/>
        </w:rPr>
        <w:t>）是部署于政务云、面向全市的智能体协同办公平台：对政务部门，它是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数字员工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的雇主平台与办公协同底座；对企业，它是普惠算力与智能能力的服务窗口；对市民，它是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问答即办事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的智能服务入口。平台以智能体（</w:t>
      </w:r>
      <w:r>
        <w:t>Agent</w:t>
      </w:r>
      <w:r>
        <w:rPr>
          <w:rFonts w:ascii="微软雅黑" w:eastAsia="微软雅黑" w:hAnsi="微软雅黑" w:cs="微软雅黑" w:hint="eastAsia"/>
          <w:lang w:eastAsia="zh-CN"/>
        </w:rPr>
        <w:t>）为第一等公民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智能体与自然人一样拥有身份、权限、记忆、任务与考核，跨系统调用工具与知识，按结果计量计费，全程留痕可审计。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1.2 三个本质转变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传统协同办公（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OA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AIOA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（智能体协同办公）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交互范式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人找工具：按岗位预置功能菜单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智能体找人：按意图与任务情境主动服务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劳动力构成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工具按岗分配，系统只辅助人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数字员工进入组织，与人协同承担完整工作单元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按席位（账号数）付费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按任务与结果计量计费（词元用量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任务达成）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1.3 设计原则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对象先行</w:t>
      </w:r>
      <w:r>
        <w:rPr>
          <w:rFonts w:ascii="微软雅黑" w:eastAsia="微软雅黑" w:hAnsi="微软雅黑" w:cs="微软雅黑" w:hint="eastAsia"/>
          <w:lang w:eastAsia="zh-CN"/>
        </w:rPr>
        <w:t>：产品由</w:t>
      </w:r>
      <w:r>
        <w:t xml:space="preserve"> 41 </w:t>
      </w:r>
      <w:r>
        <w:rPr>
          <w:rFonts w:ascii="微软雅黑" w:eastAsia="微软雅黑" w:hAnsi="微软雅黑" w:cs="微软雅黑" w:hint="eastAsia"/>
          <w:lang w:eastAsia="zh-CN"/>
        </w:rPr>
        <w:t>个对象实体及其关系定义，功能是对象关系的呈现，新增场景优先复用既有实体组合而非新增开发。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智能体内建</w:t>
      </w:r>
      <w:r>
        <w:rPr>
          <w:rFonts w:ascii="微软雅黑" w:eastAsia="微软雅黑" w:hAnsi="微软雅黑" w:cs="微软雅黑" w:hint="eastAsia"/>
          <w:lang w:eastAsia="zh-CN"/>
        </w:rPr>
        <w:t>：智能体不是外挂功能，而是拥有身份、权限、记忆与生命周期的运行时实体，深度参与协作、审批与执行。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治理内建</w:t>
      </w:r>
      <w:r>
        <w:rPr>
          <w:rFonts w:ascii="微软雅黑" w:eastAsia="微软雅黑" w:hAnsi="微软雅黑" w:cs="微软雅黑" w:hint="eastAsia"/>
          <w:lang w:eastAsia="zh-CN"/>
        </w:rPr>
        <w:t>：权限、安全区、风控策略、审批、台账作为一等实体内建于运行时，满足政务场景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先审后动、全程留痕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的合规要求。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普惠与可持续</w:t>
      </w:r>
      <w:r>
        <w:rPr>
          <w:rFonts w:ascii="微软雅黑" w:eastAsia="微软雅黑" w:hAnsi="微软雅黑" w:cs="微软雅黑" w:hint="eastAsia"/>
          <w:lang w:eastAsia="zh-CN"/>
        </w:rPr>
        <w:t>：资源池与词元计量支撑面向市民的免费额度、面向企业的套餐配额与面向政务的保障通道，商业域闭环保障平台长期运营。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一套底座、多端呈现</w:t>
      </w:r>
      <w:r>
        <w:rPr>
          <w:rFonts w:ascii="微软雅黑" w:eastAsia="微软雅黑" w:hAnsi="微软雅黑" w:cs="微软雅黑" w:hint="eastAsia"/>
          <w:lang w:eastAsia="zh-CN"/>
        </w:rPr>
        <w:t>：用户端（移动端优先）、管理端、运营端、开放端共享同一平台底座，差异仅在界面载体与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权限边界。</w:t>
      </w:r>
    </w:p>
    <w:p>
      <w:bookmarkStart w:id="10" w:name="_Toc_s2"/>
      <w:bookmarkStart w:id="1" w:name="s2"/>
      <w:pPr>
        <w:pStyle w:val="Heading2"/>
        <w:spacing w:before="550" w:after="165"/>
        <w:pBdr>
          <w:left w:val="single" w:sz="24" w:space="6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二、对象模型基线：五域 41 实体</w:t>
      </w:r>
      <w:bookmarkEnd w:id="10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本节给出</w:t>
      </w:r>
      <w:r>
        <w:t xml:space="preserve"> AIOA </w:t>
      </w:r>
      <w:r>
        <w:rPr>
          <w:rFonts w:ascii="微软雅黑" w:eastAsia="微软雅黑" w:hAnsi="微软雅黑" w:cs="微软雅黑" w:hint="eastAsia"/>
          <w:lang w:eastAsia="zh-CN"/>
        </w:rPr>
        <w:t>对象模型的总体构成：</w:t>
      </w:r>
      <w:r>
        <w:t xml:space="preserve">41 </w:t>
      </w:r>
      <w:r>
        <w:rPr>
          <w:rFonts w:ascii="微软雅黑" w:eastAsia="微软雅黑" w:hAnsi="微软雅黑" w:cs="微软雅黑" w:hint="eastAsia"/>
          <w:lang w:eastAsia="zh-CN"/>
        </w:rPr>
        <w:t>个对象实体按职责划分为五个域，域与域之间形成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主体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协作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能力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资源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商业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的支撑链条。各实体的属性、关系与设计要点的逐项定义见《</w:t>
      </w:r>
      <w:r>
        <w:t>AI</w:t>
      </w:r>
      <w:r>
        <w:rPr>
          <w:rFonts w:ascii="微软雅黑" w:eastAsia="微软雅黑" w:hAnsi="微软雅黑" w:cs="微软雅黑" w:hint="eastAsia"/>
          <w:lang w:eastAsia="zh-CN"/>
        </w:rPr>
        <w:t>工作台对象实体详细描述》。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2.1 五域划分与域职责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构成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域职责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一、身份与组织域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租户、机构、部门、团队、个人、权限、域（空间）、安全区、开放应用凭证、风控策略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谁在用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：定义平台全部主体的身份、组织归属、授权边界与安全治理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二、业务协作域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门户、项目、计划、任务、工作流、审批、里程碑、文档、表单、会议、看板、会话、消息通知、定时器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做什么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：承载人机协同的实际工作过程，从入口、容器到执行与触达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能力域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知识库、资料库、技能、专家、智能体实例、记忆库、连接器、数据库、模型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靠什么做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：供给知识、能力与智能体运行时等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服务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四、资源运营域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资源池、词元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用什么做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：承载普惠算力与模型服务的配额化供给与统一计量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五、商业运营域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会员、账本、订单、支付、台账、评价反馈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怎么持续运营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：支撑分层权益、计量计费、资金结算、审计留痕与质量反馈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 各域实体构成与定位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以下按五个域逐一给出各实体的定位与关键关联，作为附录总表的展开说明。每个实体的完整属性、关系与设计要点详见《</w:t>
      </w:r>
      <w:r>
        <w:t>AI</w:t>
      </w:r>
      <w:r>
        <w:rPr>
          <w:rFonts w:ascii="微软雅黑" w:eastAsia="微软雅黑" w:hAnsi="微软雅黑" w:cs="微软雅黑" w:hint="eastAsia"/>
          <w:lang w:eastAsia="zh-CN"/>
        </w:rPr>
        <w:t>工作台对象实体详细描述》。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2.2.1 身份与组织域（10 个实体）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一句话定位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关键关联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多租户体系最顶层隔离单元，代表接入平台的独立服务对象，决定数据隔离边界、配额与计费主体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下辖机构与个人；绑定资源配额与会员等级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机构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租户内具有法人或主体资格的组织实体（政府部门、企业、社会团体）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包含部门与团队；可持有知识库与资源配额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部门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机构内部行政或业务条线划分，树形结构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绑定知识库、权限组与审批流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跨部门、跨机构的动态协作单元，不改变行政隶属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多对多挂接成员与项目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平台最小身份主体，市民或从业者经实名认证接入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可归属多组织维度；拥有个人空间与算力额度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角色、权限点、数据范围三要素构成的授权体系（</w:t>
            </w:r>
            <w:r>
              <w:t xml:space="preserve"> </w:t>
            </w:r>
            <w:r>
              <w:t xml:space="preserve">RBAC + </w:t>
            </w:r>
            <w:r>
              <w:t xml:space="preserve"> </w:t>
            </w:r>
            <w:r>
              <w:t>行级数据权限）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横向贯穿所有对象；支撑最小权限与操作审计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域（空间）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可配置的业务空间划分（政务域、企业域、市民域等），新增空间不改代码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域内再分安全区，形成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业务版图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安全等级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矩阵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域内按数据敏感等级划分的隔离区，区区间访问受控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与权限、风控策略联动，约束数据流动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开放应用凭证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企业与开发者以应用身份经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接入平台能力的凭证体系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绑定权限与调用配额；调用行为进台账审计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风控策略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智能体生成内容与行为的安全治理规则，策略内建于运行时而非外挂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约束智能体实例、技能调用与会话内容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2.2.2 业务协作域（14 个实体）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一句话定位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关键关联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统一入口，按角色卡片化呈现待办、应用与服务，实现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一屏办公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聚合任务、审批、消息与智能体服务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最核心的业务容器，围绕一个目标组织任务、资源、知识与成员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下辖任务与里程碑；挂接知识库、技能与配额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项目或个人工作在时间维度的安排，含阶段划分与任务排布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分解为任务；绑定里程碑与提醒规则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最小可执行工作单元，可由人工执行或派发智能体执行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隶属项目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计划；调用技能与知识库；产出留痕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流程编排引擎：把任务、技能、审批、连接器按顺序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条件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并行串成自动化流程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由定时器触发；内嵌审批节点；驱动智能体协作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先审后动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的合规卡点，作为工作流中的一类人工节点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服务于知识库发布、资料入库、配额申请等场景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里程碑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项目中具有标志意义的关键节点，用于进度度量与考核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由多任务达成；驱动提醒与进度报告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起草、多人共编、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润色、定稿归档的原生协同载体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关联项目；可一键入资料库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表单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结构化数据采集界面，审批与工作流的输入载体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从文档自动填表；数据可入数据库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会前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汇编材料、会后纪要生成、待办自动派任务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关联项目；产出文档与任务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领导驾驶舱与督办看板，支持自然语言取数（</w:t>
            </w:r>
            <w:r>
              <w:t xml:space="preserve"> </w:t>
            </w:r>
            <w:r>
              <w:t>NL2SQL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消费数据库与项目进度数据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用户与专家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智能体交互的原始载体，服务过程凭证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供溯源、质检、投诉处理与评价引用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消息通知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站内、短信、公众号等统一触达通道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承载审批待办、提醒、告警的送达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平台侧定时或周期触发机制，驱动自动化任务与智能体例行工作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触发任务、工作流与消息推送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2.2.3 AI 能力域（9 个实体）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一句话定位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关键关联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结构化管理的领域知识集合，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检索增强的核心载体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多级挂载（租户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机构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部门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项目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个人）；被技能与专家引用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资料库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面向用户的原始资料文件管理（上传、版本、共享、预览）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知识库的源头，支持一键入库，两态管理控制涉密内容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封装好的可复用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能力单元（提示词模板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工具调用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流程编排）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组合成智能体工作流；被任务、定时器、对话调用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面向垂直领域的智能体角色（人设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技能组合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专属知识库）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市民企业的直接服务入口；可上架专家市场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智能体实例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专家的运行时形态（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数字员工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）：有身份、授权快照、记忆与生命周期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可观测、可暂停、可考核；受风控策略约束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记忆库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跨会话个性化记忆（个人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组织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智能体三层），区别于知识库的公共知识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支撑智能体实例的个性化与连续服务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连接器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平台与外部系统、数据源、工具之间的标准化集成通道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对接政务办事系统与企业</w:t>
            </w:r>
            <w:r>
              <w:t xml:space="preserve"> </w:t>
            </w:r>
            <w:r>
              <w:t xml:space="preserve"> ERP</w:t>
            </w:r>
            <w:r>
              <w:t xml:space="preserve"> </w:t>
            </w:r>
            <w:r>
              <w:t>；受权限与安全审计约束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用户或项目在平台上自建的结构化数据存储，支持自然语言建表与</w:t>
            </w:r>
            <w:r>
              <w:t xml:space="preserve"> </w:t>
            </w:r>
            <w:r>
              <w:t xml:space="preserve"> NL2SQL </w:t>
            </w:r>
            <w:r>
              <w:t xml:space="preserve"> </w:t>
            </w:r>
            <w:r>
              <w:t>查询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被技能、专家、看板读写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平台接入的大模型资产（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模型超市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），统一模型网关路由多模型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经安全评测与国产化适配双门槛准入；调用消耗词元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2.2.4 资源运营域（2 个实体）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一句话定位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关键关联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普惠算力与模型服务的配额化载体（训练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推理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存储），管理容量在各租户间的分配与计量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租户、机构、项目绑定配额；调度按配额与优先级分配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平台计量的统一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度量衡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，连接模型调用与账本计费（输入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输出分开计价）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模型调用产生词元用量；超额执行降级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限流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停服三档策略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2.2.5 商业运营域（6 个实体）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一句话定位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关键关联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分层权益体系：免费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基础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专业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旗舰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政务保障五级（政务保障走专项审批）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决定算力配额、模型档位与服务边界；预留惠民惠企政策权益接口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账本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计量计费账务中枢：流水只增不改，免费与付费额度分账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汇聚词元用量；生成订单与账单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会员订阅、词元包购买等交易凭证，连接账本与支付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对公转账必须先有订单再核销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资金结算通道：在线支付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对公转账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政务专户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银行账号加密脱敏；回调验签防重放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全程留痕审计（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账本管钱、台账管事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），支持哈希链防篡改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记录关键操作与资金事件，支撑政务审计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质量闭环：对专家回答、技能产出评分纠错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低分自动进复核；反哺知识库与能力迭代</w:t>
            </w:r>
          </w:p>
        </w:tc>
      </w:tr>
    </w:tbl>
    <w:p>
      <w:bookmarkStart w:id="11" w:name="_Toc_s3"/>
      <w:bookmarkStart w:id="2" w:name="s3"/>
      <w:pPr>
        <w:pStyle w:val="Heading2"/>
        <w:spacing w:before="550" w:after="165"/>
        <w:pBdr>
          <w:left w:val="single" w:sz="24" w:space="6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三、实体关系总览</w:t>
      </w:r>
      <w:bookmarkEnd w:id="11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本节以两张结构图给出</w:t>
      </w:r>
      <w:r>
        <w:t xml:space="preserve"> 41 </w:t>
      </w:r>
      <w:r>
        <w:rPr>
          <w:rFonts w:ascii="微软雅黑" w:eastAsia="微软雅黑" w:hAnsi="微软雅黑" w:cs="微软雅黑" w:hint="eastAsia"/>
          <w:lang w:eastAsia="zh-CN"/>
        </w:rPr>
        <w:t>个实体的整体关系：域间支撑关系图表达五域自上而下的赋能链条，运营闭环链路图表达一次服务的完整生命周期。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3.1 域间支撑关系图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域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实体构成与支撑关系</w:t>
            </w:r>
          </w:p>
        </w:tc>
      </w:tr>
      <w:tr>
        <w:tc>
          <w:tcPr>
            <w:tcW w:type="dxa" w:w="28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1565C0"/>
              <w:right w:val="single" w:sz="6" w:space="0" w:color="E0E0E0"/>
            </w:tcBorders>
            <w:shd w:val="clear" w:color="auto" w:fill="E3F2FD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</w:rPr>
              <w:t xml:space="preserve">身份与组织域 </w:t>
              <w:br/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（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 xml:space="preserve">10 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实体）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1565C0"/>
              <w:right w:val="single" w:sz="6" w:space="0" w:color="E0E0E0"/>
            </w:tcBorders>
            <w:shd w:val="clear" w:color="auto" w:fill="E3F2FD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租户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机构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团队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域（空间）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开放应用凭证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风控策略</w:t>
            </w:r>
          </w:p>
        </w:tc>
      </w:tr>
      <w:tr>
        <w:tc>
          <w:tcPr>
            <w:tcW w:type="dxa" w:w="10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1565C0"/>
              </w:rPr>
              <w:t>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提供主体、组织与授权：一切操作以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谁、在哪个域、什么权限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为前提</w:t>
            </w:r>
          </w:p>
        </w:tc>
      </w:tr>
      <w:tr>
        <w:tc>
          <w:tcPr>
            <w:tcW w:type="dxa" w:w="28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2E7D32"/>
              <w:right w:val="single" w:sz="6" w:space="0" w:color="E0E0E0"/>
            </w:tcBorders>
            <w:shd w:val="clear" w:color="auto" w:fill="E8F5E9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</w:rPr>
              <w:t xml:space="preserve">业务协作域 </w:t>
              <w:br/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（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 xml:space="preserve">14 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实体）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2E7D32"/>
              <w:right w:val="single" w:sz="6" w:space="0" w:color="E0E0E0"/>
            </w:tcBorders>
            <w:shd w:val="clear" w:color="auto" w:fill="E8F5E9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任务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工作流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里程碑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看板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定时器</w:t>
            </w:r>
          </w:p>
        </w:tc>
      </w:tr>
      <w:tr>
        <w:tc>
          <w:tcPr>
            <w:tcW w:type="dxa" w:w="10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1565C0"/>
              </w:rPr>
              <w:t>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发起能力调用：任务与工作流编排技能、专家与数据服务</w:t>
            </w:r>
          </w:p>
        </w:tc>
      </w:tr>
      <w:tr>
        <w:tc>
          <w:tcPr>
            <w:tcW w:type="dxa" w:w="28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E65100"/>
              <w:right w:val="single" w:sz="6" w:space="0" w:color="E0E0E0"/>
            </w:tcBorders>
            <w:shd w:val="clear" w:color="auto" w:fill="FFF3E0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</w:rPr>
              <w:t xml:space="preserve">AI 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能力域</w:t>
            </w:r>
            <w:r>
              <w:rPr>
                <w:rFonts w:ascii="微软雅黑" w:hAnsi="微软雅黑" w:eastAsia="微软雅黑" w:hint="eastAsia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（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 xml:space="preserve">9 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实体）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E65100"/>
              <w:right w:val="single" w:sz="6" w:space="0" w:color="E0E0E0"/>
            </w:tcBorders>
            <w:shd w:val="clear" w:color="auto" w:fill="FFF3E0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知识库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资料库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技能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专家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智能体实例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记忆库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连接器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</w:t>
            </w:r>
          </w:p>
        </w:tc>
      </w:tr>
      <w:tr>
        <w:tc>
          <w:tcPr>
            <w:tcW w:type="dxa" w:w="10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1565C0"/>
              </w:rPr>
              <w:t>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消耗资源：模型调用、检索与存储均计量为词元与算力用量</w:t>
            </w:r>
          </w:p>
        </w:tc>
      </w:tr>
      <w:tr>
        <w:tc>
          <w:tcPr>
            <w:tcW w:type="dxa" w:w="28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00838F"/>
              <w:right w:val="single" w:sz="6" w:space="0" w:color="E0E0E0"/>
            </w:tcBorders>
            <w:shd w:val="clear" w:color="auto" w:fill="E0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</w:rPr>
              <w:t xml:space="preserve">资源运营域 </w:t>
              <w:br/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（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 xml:space="preserve">2 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实体）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00838F"/>
              <w:right w:val="single" w:sz="6" w:space="0" w:color="E0E0E0"/>
            </w:tcBorders>
            <w:shd w:val="clear" w:color="auto" w:fill="E0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资源池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词元</w:t>
            </w:r>
          </w:p>
        </w:tc>
      </w:tr>
      <w:tr>
        <w:tc>
          <w:tcPr>
            <w:tcW w:type="dxa" w:w="10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1565C0"/>
              </w:rPr>
              <w:t>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计量进入账务：词元用量按主体汇入账本，驱动配额与计费</w:t>
            </w:r>
          </w:p>
        </w:tc>
      </w:tr>
      <w:tr>
        <w:tc>
          <w:tcPr>
            <w:tcW w:type="dxa" w:w="28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AD1457"/>
              <w:right w:val="single" w:sz="6" w:space="0" w:color="E0E0E0"/>
            </w:tcBorders>
            <w:shd w:val="clear" w:color="auto" w:fill="FCE4EC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</w:rPr>
              <w:t xml:space="preserve">商业运营域 </w:t>
              <w:br/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（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 xml:space="preserve">6 </w:t>
            </w:r>
            <w:r>
              <w:rPr>
                <w:rFonts w:ascii="微软雅黑" w:hAnsi="微软雅黑" w:eastAsia="微软雅黑" w:hint="eastAsia"/>
              </w:rPr>
              <w:t xml:space="preserve"> </w:t>
            </w:r>
            <w:r>
              <w:rPr>
                <w:rFonts w:ascii="微软雅黑" w:hAnsi="微软雅黑" w:eastAsia="微软雅黑" w:hint="eastAsia"/>
              </w:rPr>
              <w:t>实体）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24" w:space="0" w:color="AD1457"/>
              <w:right w:val="single" w:sz="6" w:space="0" w:color="E0E0E0"/>
            </w:tcBorders>
            <w:shd w:val="clear" w:color="auto" w:fill="FCE4EC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会员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账本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订单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台账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评价反馈</w:t>
            </w:r>
          </w:p>
        </w:tc>
      </w:tr>
      <w:tr>
        <w:tc>
          <w:tcPr>
            <w:tcW w:type="dxa" w:w="10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1565C0"/>
              </w:rPr>
              <w:t>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CE4EC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商业反哺回路：会员权益回注身份与组织域，评价反馈回注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能力域，形成闭环</w:t>
            </w:r>
          </w:p>
        </w:tc>
      </w:tr>
    </w:tbl>
    <w:p>
      <w:pPr>
        <w:spacing w:before="48" w:after="160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图</w:t>
      </w:r>
      <w:r>
        <w:rPr>
          <w:color w:val="616161"/>
          <w:sz w:val="16"/>
        </w:rPr>
        <w:t xml:space="preserve"> 1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 xml:space="preserve">　五域支撑关系总览（自上而下赋能，商业反哺闭环）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3.2 运营闭环链路图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640"/>
            <w:gridSpan w:val="9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运营闭环链路：步骤流转方向</w:t>
            </w:r>
          </w:p>
        </w:tc>
      </w:tr>
      <w:tr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1565C0"/>
              <w:right w:val="single" w:sz="6" w:space="0" w:color="E0E0E0"/>
            </w:tcBorders>
            <w:shd w:val="clear" w:color="auto" w:fill="E3F2FD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开放应用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</w:t>
            </w:r>
            <w:r>
              <w:rPr>
                <w:sz w:val="16"/>
              </w:rPr>
              <w:t xml:space="preserve"> </w:t>
              <w:br/>
            </w:r>
            <w:r>
              <w:rPr>
                <w:sz w:val="16"/>
              </w:rPr>
              <w:t xml:space="preserve"> 接入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2E7D32"/>
              <w:right w:val="single" w:sz="6" w:space="0" w:color="E0E0E0"/>
            </w:tcBorders>
            <w:shd w:val="clear" w:color="auto" w:fill="E8F5E9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 xml:space="preserve">工作流编排 </w:t>
              <w:br/>
            </w:r>
            <w:r>
              <w:rPr>
                <w:sz w:val="16"/>
              </w:rPr>
              <w:t xml:space="preserve"> （含审批卡点）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E65100"/>
              <w:right w:val="single" w:sz="6" w:space="0" w:color="E0E0E0"/>
            </w:tcBorders>
            <w:shd w:val="clear" w:color="auto" w:fill="FFF3E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技能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</w:t>
            </w:r>
            <w:r>
              <w:rPr>
                <w:sz w:val="16"/>
              </w:rPr>
              <w:t xml:space="preserve"> </w:t>
              <w:br/>
            </w:r>
            <w:r>
              <w:rPr>
                <w:sz w:val="16"/>
              </w:rPr>
              <w:t xml:space="preserve"> 执行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00838F"/>
              <w:right w:val="single" w:sz="6" w:space="0" w:color="E0E0E0"/>
            </w:tcBorders>
            <w:shd w:val="clear" w:color="auto" w:fill="E0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词元计量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AD1457"/>
              <w:right w:val="single" w:sz="6" w:space="0" w:color="E0E0E0"/>
            </w:tcBorders>
            <w:shd w:val="clear" w:color="auto" w:fill="FCE4EC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账本记账</w:t>
            </w:r>
          </w:p>
        </w:tc>
      </w:tr>
      <w:tr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AD1457"/>
              <w:right w:val="single" w:sz="6" w:space="0" w:color="E0E0E0"/>
            </w:tcBorders>
            <w:shd w:val="clear" w:color="auto" w:fill="FCE4EC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订单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</w:t>
            </w:r>
            <w:r>
              <w:rPr>
                <w:sz w:val="16"/>
              </w:rPr>
              <w:t xml:space="preserve"> </w:t>
              <w:br/>
            </w:r>
            <w:r>
              <w:rPr>
                <w:sz w:val="16"/>
              </w:rPr>
              <w:t xml:space="preserve"> 结算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AD1457"/>
              <w:right w:val="single" w:sz="6" w:space="0" w:color="E0E0E0"/>
            </w:tcBorders>
            <w:shd w:val="clear" w:color="auto" w:fill="FCE4EC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台账留痕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AD1457"/>
              <w:right w:val="single" w:sz="6" w:space="0" w:color="E0E0E0"/>
            </w:tcBorders>
            <w:shd w:val="clear" w:color="auto" w:fill="FCE4EC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评价反馈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→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24" w:space="0" w:color="E65100"/>
              <w:right w:val="single" w:sz="6" w:space="0" w:color="E0E0E0"/>
            </w:tcBorders>
            <w:shd w:val="clear" w:color="auto" w:fill="FFF3E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 xml:space="preserve">反哺知识库 </w:t>
              <w:br/>
            </w:r>
            <w:r>
              <w:rPr>
                <w:sz w:val="16"/>
              </w:rPr>
              <w:t xml:space="preserve"> 与能力迭代</w:t>
            </w:r>
          </w:p>
        </w:tc>
        <w:tc>
          <w:tcPr>
            <w:tcW w:type="dxa" w:w="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FFFF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1565C0"/>
                <w:sz w:val="16"/>
              </w:rPr>
              <w:t>⟲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 xml:space="preserve">回到服务起点 </w:t>
              <w:br/>
            </w:r>
            <w:r>
              <w:rPr>
                <w:sz w:val="16"/>
              </w:rPr>
              <w:t xml:space="preserve"> 持续优化</w:t>
            </w:r>
          </w:p>
        </w:tc>
      </w:tr>
    </w:tbl>
    <w:p>
      <w:pPr>
        <w:spacing w:before="48" w:after="160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图</w:t>
      </w:r>
      <w:r>
        <w:rPr>
          <w:color w:val="616161"/>
          <w:sz w:val="16"/>
        </w:rPr>
        <w:t xml:space="preserve"> 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 xml:space="preserve">　运营闭环链路（</w:t>
      </w:r>
      <w:r>
        <w:rPr>
          <w:color w:val="616161"/>
          <w:sz w:val="16"/>
        </w:rPr>
        <w:t xml:space="preserve">41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实体各占闭环一环，无断点）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闭环说明：会员在身份与组织域定义权益边界，开放应用与会话完成服务接入；工作流在审批卡点约束下编排技能与模型执行；执行过程由词元统一计量并汇入账本，经订单与支付完成结算，台账全程留痕；评价反馈驱动知识库与能力迭代，回到服务起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由此形成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接入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执行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计量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结算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留痕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反馈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迭代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的完整循环。</w:t>
      </w:r>
    </w:p>
    <w:p>
      <w:bookmarkStart w:id="12" w:name="_Toc_s4"/>
      <w:bookmarkStart w:id="3" w:name="s4"/>
      <w:pPr>
        <w:pStyle w:val="Heading2"/>
        <w:spacing w:before="550" w:after="165"/>
        <w:pBdr>
          <w:left w:val="single" w:sz="24" w:space="6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四、总体架构：六横两纵</w:t>
      </w:r>
      <w:bookmarkEnd w:id="12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本节给出</w:t>
      </w:r>
      <w:r>
        <w:t xml:space="preserve"> AIOA </w:t>
      </w:r>
      <w:r>
        <w:rPr>
          <w:rFonts w:ascii="微软雅黑" w:eastAsia="微软雅黑" w:hAnsi="微软雅黑" w:cs="微软雅黑" w:hint="eastAsia"/>
          <w:lang w:eastAsia="zh-CN"/>
        </w:rPr>
        <w:t>的总体分层架构：六个横向层级承载从用户接入到资源供给的全链路，两条纵向体系贯穿安全合规与运营计费。对象模型的五个域映射到各层之中。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层级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对应对象域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接入层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用户端（移动端优先：小程序</w:t>
            </w:r>
            <w:r>
              <w:t xml:space="preserve"> </w:t>
            </w:r>
            <w:r>
              <w:t>/H5/App</w:t>
            </w:r>
            <w:r>
              <w:t xml:space="preserve"> </w:t>
            </w:r>
            <w:r>
              <w:t>）、管理端、运营端、开放端（</w:t>
            </w:r>
            <w:r>
              <w:t xml:space="preserve"> </w:t>
            </w:r>
            <w:r>
              <w:t>API/SDK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开放应用凭证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协同应用层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门户、项目协作、文档共编、会议、表单、看板、审批中心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智能体运行层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Agent Runtime</w:t>
            </w:r>
            <w:r>
              <w:t xml:space="preserve"> </w:t>
            </w:r>
            <w:r>
              <w:t>：智能体实例生命周期、工作流编排引擎、</w:t>
            </w:r>
            <w:r>
              <w:t xml:space="preserve"> </w:t>
            </w:r>
            <w:r>
              <w:t xml:space="preserve">HITL </w:t>
            </w:r>
            <w:r>
              <w:t xml:space="preserve"> </w:t>
            </w:r>
            <w:r>
              <w:t>审批卡点、三层记忆、全程追踪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业务协作域（工作流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审批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会话）</w:t>
            </w:r>
            <w:r>
              <w:t xml:space="preserve"> </w:t>
            </w:r>
            <w:r>
              <w:t xml:space="preserve">+ AI </w:t>
            </w:r>
            <w:r>
              <w:t xml:space="preserve"> </w:t>
            </w:r>
            <w:r>
              <w:t>能力域（智能体实例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记忆库）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④ AI </w:t>
            </w:r>
            <w:r>
              <w:t xml:space="preserve"> </w:t>
            </w:r>
            <w:r>
              <w:t>能力层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技能工厂、专家市场、知识库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检索（</w:t>
            </w:r>
            <w:r>
              <w:t xml:space="preserve"> </w:t>
            </w:r>
            <w:r>
              <w:t>RAG</w:t>
            </w:r>
            <w:r>
              <w:t xml:space="preserve"> </w:t>
            </w:r>
            <w:r>
              <w:t>）、连接器、</w:t>
            </w:r>
            <w:r>
              <w:t xml:space="preserve"> </w:t>
            </w:r>
            <w:r>
              <w:t xml:space="preserve">NL2SQL </w:t>
            </w:r>
            <w:r>
              <w:t xml:space="preserve"> </w:t>
            </w:r>
            <w:r>
              <w:t>数据服务、统一模型网关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⑤ </w:t>
            </w:r>
            <w:r>
              <w:t xml:space="preserve"> </w:t>
            </w:r>
            <w:r>
              <w:t>平台底座层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身份与租户体系、权限与安全区、风控引擎、消息触达、调度、多级数据隔离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⑥ </w:t>
            </w:r>
            <w:r>
              <w:t xml:space="preserve"> </w:t>
            </w:r>
            <w:r>
              <w:t>资源层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GPU </w:t>
            </w:r>
            <w:r>
              <w:t xml:space="preserve"> </w:t>
            </w:r>
            <w:r>
              <w:t>算力（政务云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市算力中心）、模型服务、对象存储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资源运营域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纵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：安全合规体系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等保三级、数据分类分级、内容安全双审、信创适配、全程审计（台账）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贯穿</w:t>
            </w:r>
            <w:r>
              <w:t xml:space="preserve"> </w:t>
            </w:r>
            <w:r>
              <w:t>①—⑥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纵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：运营计费体系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会员权益、词元计量、账本、订单支付、对账与报表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贯穿</w:t>
            </w:r>
            <w:r>
              <w:t xml:space="preserve"> </w:t>
            </w:r>
            <w:r>
              <w:t>①—⑥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4.1 端与底座的关系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平台采用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一套底座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多端应用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原则：用户端、管理端、运营端、开放端共享同一套后端微服务与</w:t>
      </w:r>
      <w:r>
        <w:t xml:space="preserve"> Agent Runtime</w:t>
      </w:r>
      <w:r>
        <w:rPr>
          <w:rFonts w:ascii="微软雅黑" w:eastAsia="微软雅黑" w:hAnsi="微软雅黑" w:cs="微软雅黑" w:hint="eastAsia"/>
          <w:lang w:eastAsia="zh-CN"/>
        </w:rPr>
        <w:t>，差异仅体现在三处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前端界面载体、</w:t>
      </w:r>
      <w:r>
        <w:t xml:space="preserve">API </w:t>
      </w:r>
      <w:r>
        <w:rPr>
          <w:rFonts w:ascii="微软雅黑" w:eastAsia="微软雅黑" w:hAnsi="微软雅黑" w:cs="微软雅黑" w:hint="eastAsia"/>
          <w:lang w:eastAsia="zh-CN"/>
        </w:rPr>
        <w:t>权限边界、功能分期节奏。一期交付用户端（移动端）与管理端最小配置版、运营端最简版；二期丰满管理端与运营端；三期上线开放端。</w:t>
      </w:r>
    </w:p>
    <w:p>
      <w:bookmarkStart w:id="13" w:name="_Toc_s5"/>
      <w:bookmarkStart w:id="4" w:name="s5"/>
      <w:pPr>
        <w:pStyle w:val="Heading2"/>
        <w:spacing w:before="550" w:after="165"/>
        <w:pBdr>
          <w:left w:val="single" w:sz="24" w:space="6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五、系统构造（技术架构概要）</w:t>
      </w:r>
      <w:bookmarkEnd w:id="13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本节从工程视角给出系统构造概要，包括微服务域划分、智能体运行时、模型接入、数据架构与部署形态。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5.1 微服务域划分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微服务域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职责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对应实体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identity</w:t>
            </w:r>
            <w:r>
              <w:t xml:space="preserve"> </w:t>
            </w:r>
            <w:r>
              <w:t>（身份）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租户、组织、实名、</w:t>
            </w:r>
            <w:r>
              <w:t xml:space="preserve"> </w:t>
            </w:r>
            <w:r>
              <w:t>SSO</w:t>
            </w:r>
            <w:r>
              <w:t xml:space="preserve"> </w:t>
            </w:r>
            <w:r>
              <w:t>、应用凭证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机构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部门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个人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开放应用凭证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authz</w:t>
            </w:r>
            <w:r>
              <w:t xml:space="preserve"> </w:t>
            </w:r>
            <w:r>
              <w:t>（授权）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RBAC</w:t>
            </w:r>
            <w:r>
              <w:t xml:space="preserve"> </w:t>
            </w:r>
            <w:r>
              <w:t>、行级数据权限、域与安全区、风控策略执行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安全区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风控策略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collab</w:t>
            </w:r>
            <w:r>
              <w:t xml:space="preserve"> </w:t>
            </w:r>
            <w:r>
              <w:t>（协作）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项目、计划、任务、文档、表单、会议、看板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业务协作域（结构类）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workflow</w:t>
            </w:r>
            <w:r>
              <w:t xml:space="preserve"> </w:t>
            </w:r>
            <w:r>
              <w:t>（编排）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工作流引擎、审批流、定时器、消息触达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审批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定时器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消息通知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agent</w:t>
            </w:r>
            <w:r>
              <w:t xml:space="preserve"> </w:t>
            </w:r>
            <w:r>
              <w:t>（运行时）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智能体实例生命周期、会话、记忆、追踪观测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智能体实例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会话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记忆库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专家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ai-capability</w:t>
            </w:r>
            <w:r>
              <w:t xml:space="preserve"> </w:t>
            </w:r>
            <w:r>
              <w:t>（能力）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技能、知识库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资料库、</w:t>
            </w:r>
            <w:r>
              <w:t xml:space="preserve"> </w:t>
            </w:r>
            <w:r>
              <w:t>RAG</w:t>
            </w:r>
            <w:r>
              <w:t xml:space="preserve"> </w:t>
            </w:r>
            <w:r>
              <w:t>、连接器、</w:t>
            </w:r>
            <w:r>
              <w:t xml:space="preserve"> </w:t>
            </w:r>
            <w:r>
              <w:t>NL2SQL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资料库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连接器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model-gateway</w:t>
            </w:r>
            <w:r>
              <w:t xml:space="preserve"> </w:t>
            </w:r>
            <w:r>
              <w:t>（模型网关）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多模型接入、路由、降级熔断、评测准入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ops-billing</w:t>
            </w:r>
            <w:r>
              <w:t xml:space="preserve"> </w:t>
            </w:r>
            <w:r>
              <w:t>（运营计费）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资源池调度、词元计量、会员、账本、订单、支付、台账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资源运营域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商业运营域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5.2 Agent Runtime（智能体运行时）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执行循环</w:t>
      </w:r>
      <w:r>
        <w:rPr>
          <w:rFonts w:ascii="微软雅黑" w:eastAsia="微软雅黑" w:hAnsi="微软雅黑" w:cs="微软雅黑" w:hint="eastAsia"/>
          <w:lang w:eastAsia="zh-CN"/>
        </w:rPr>
        <w:t>：感知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规划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执行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反思四阶段循环，复杂任务自动拆解为任务树并映射到任务实体。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HITL 审批卡点</w:t>
      </w:r>
      <w:r>
        <w:rPr>
          <w:rFonts w:ascii="微软雅黑" w:eastAsia="微软雅黑" w:hAnsi="微软雅黑" w:cs="微软雅黑" w:hint="eastAsia"/>
          <w:lang w:eastAsia="zh-CN"/>
        </w:rPr>
        <w:t>：高风险动作（对外发送、资金相关、数据删除、涉密访问）强制人工确认，审批记录进台账。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工具沙箱</w:t>
      </w:r>
      <w:r>
        <w:rPr>
          <w:rFonts w:ascii="微软雅黑" w:eastAsia="微软雅黑" w:hAnsi="微软雅黑" w:cs="微软雅黑" w:hint="eastAsia"/>
          <w:lang w:eastAsia="zh-CN"/>
        </w:rPr>
        <w:t>：连接器与代码执行运行于受限沙箱，按工具级权限白名单放行。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三层记忆</w:t>
      </w:r>
      <w:r>
        <w:rPr>
          <w:rFonts w:ascii="微软雅黑" w:eastAsia="微软雅黑" w:hAnsi="微软雅黑" w:cs="微软雅黑" w:hint="eastAsia"/>
          <w:lang w:eastAsia="zh-CN"/>
        </w:rPr>
        <w:t>：个人记忆（用户偏好）、组织记忆（机构规程）、智能体记忆（任务经验），分层读写权限隔离。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全程追踪</w:t>
      </w:r>
      <w:r>
        <w:rPr>
          <w:rFonts w:ascii="微软雅黑" w:eastAsia="微软雅黑" w:hAnsi="微软雅黑" w:cs="微软雅黑" w:hint="eastAsia"/>
          <w:lang w:eastAsia="zh-CN"/>
        </w:rPr>
        <w:t>：每次运行的计划、工具调用、产出全程留痕，支撑审计、质检与评价反馈。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5.3 模型接入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统一模型网关承接全部模型调用：多模型路由（按任务类型、成本与档位选择模型）、故障降级与熔断、输入输出内容安全双审、按模型档位的词元差异计价。模型准入执行安全评测等级与国产化适配双门槛，支持主流开源与商用模型的标准化接入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5.4 数据架构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多租户三级隔离</w:t>
      </w:r>
      <w:r>
        <w:rPr>
          <w:rFonts w:ascii="微软雅黑" w:eastAsia="微软雅黑" w:hAnsi="微软雅黑" w:cs="微软雅黑" w:hint="eastAsia"/>
          <w:lang w:eastAsia="zh-CN"/>
        </w:rPr>
        <w:t>：重点政务租户库级隔离、普通机构模式级隔离、市民个人行级隔离，按安全区策略弹性选择。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知识数据链</w:t>
      </w:r>
      <w:r>
        <w:rPr>
          <w:rFonts w:ascii="微软雅黑" w:eastAsia="微软雅黑" w:hAnsi="微软雅黑" w:cs="微软雅黑" w:hint="eastAsia"/>
          <w:lang w:eastAsia="zh-CN"/>
        </w:rPr>
        <w:t>：资料库（原始态）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知识库（切片索引态），入库动作可配置审批。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账务数据链</w:t>
      </w:r>
      <w:r>
        <w:rPr>
          <w:rFonts w:ascii="微软雅黑" w:eastAsia="微软雅黑" w:hAnsi="微软雅黑" w:cs="微软雅黑" w:hint="eastAsia"/>
          <w:lang w:eastAsia="zh-CN"/>
        </w:rPr>
        <w:t>：词元计量流水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账本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订单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支付，流水只增不改；台账独立存储并支持哈希链防篡改。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向量与全文双索引</w:t>
      </w:r>
      <w:r>
        <w:rPr>
          <w:rFonts w:ascii="微软雅黑" w:eastAsia="微软雅黑" w:hAnsi="微软雅黑" w:cs="微软雅黑" w:hint="eastAsia"/>
          <w:lang w:eastAsia="zh-CN"/>
        </w:rPr>
        <w:t>：知识库同时建向量索引与全文索引，兼顾语义检索与关键词精确命中。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5.5 部署形态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平台部署于政务云</w:t>
      </w:r>
      <w:r>
        <w:t xml:space="preserve"> Kubernetes </w:t>
      </w:r>
      <w:r>
        <w:rPr>
          <w:rFonts w:ascii="微软雅黑" w:eastAsia="微软雅黑" w:hAnsi="微软雅黑" w:cs="微软雅黑" w:hint="eastAsia"/>
          <w:lang w:eastAsia="zh-CN"/>
        </w:rPr>
        <w:t>集群（信创适配），推理算力租用市算力中心普惠额度，平台自身零重资产采购；市民侧流量与政务侧流量经安全区策略隔离，对外服务经统一网关接入。</w:t>
      </w:r>
    </w:p>
    <w:p>
      <w:bookmarkStart w:id="14" w:name="_Toc_s6"/>
      <w:bookmarkStart w:id="5" w:name="s6"/>
      <w:pPr>
        <w:pStyle w:val="Heading2"/>
        <w:spacing w:before="550" w:after="165"/>
        <w:pBdr>
          <w:left w:val="single" w:sz="24" w:space="6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六、核心业务场景闭环</w:t>
      </w:r>
      <w:bookmarkEnd w:id="14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本节以两个典型场景演示</w:t>
      </w:r>
      <w:r>
        <w:t xml:space="preserve"> 41 </w:t>
      </w:r>
      <w:r>
        <w:rPr>
          <w:rFonts w:ascii="微软雅黑" w:eastAsia="微软雅黑" w:hAnsi="微软雅黑" w:cs="微软雅黑" w:hint="eastAsia"/>
          <w:lang w:eastAsia="zh-CN"/>
        </w:rPr>
        <w:t>个实体在闭环中的协同方式，验证对象模型与架构的一致性。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6.1 场景一：企业智能体执行月度经营分析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企业租户下某团队在工作流中编排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经营分析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流程：定时器每月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日触发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智能体实例经连接器拉取</w:t>
      </w:r>
      <w:r>
        <w:t xml:space="preserve"> ERP </w:t>
      </w:r>
      <w:r>
        <w:rPr>
          <w:rFonts w:ascii="微软雅黑" w:eastAsia="微软雅黑" w:hAnsi="微软雅黑" w:cs="微软雅黑" w:hint="eastAsia"/>
          <w:lang w:eastAsia="zh-CN"/>
        </w:rPr>
        <w:t>销售数据入项目数据库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调用数据分析技能与绑定知识库完成分析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生成看板报告并起草月报文档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提交人工审批节点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审批通过后消息通知推送管理层。全程消耗词元计入企业账本（套餐配额内），关键动作留痕台账。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6.2 场景二：市民政务咨询"问答即办事"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市民在用户端会话中向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政策咨询专家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专家（技能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政策知识库组装）流式作答并给出办事指引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用户确认后经连接器对接政务办事系统提交预审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表单由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依据会话内容自动填充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提交审批流转。会话全程留痕供质检，市民对服务评分进入评价反馈，免费词元额度由市民会员等级决定。</w:t>
      </w:r>
    </w:p>
    <w:p>
      <w:bookmarkStart w:id="15" w:name="_Toc_s7"/>
      <w:bookmarkStart w:id="6" w:name="s7"/>
      <w:pPr>
        <w:pStyle w:val="Heading2"/>
        <w:spacing w:before="550" w:after="165"/>
        <w:pBdr>
          <w:left w:val="single" w:sz="24" w:space="6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七、非功能性要求概要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概要要求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会话首字响应</w:t>
            </w:r>
            <w:r>
              <w:t xml:space="preserve"> </w:t>
            </w:r>
            <w:r>
              <w:t xml:space="preserve"> ≤ 2 </w:t>
            </w:r>
            <w:r>
              <w:t xml:space="preserve"> </w:t>
            </w:r>
            <w:r>
              <w:t>秒（流式），常规检索</w:t>
            </w:r>
            <w:r>
              <w:t xml:space="preserve"> </w:t>
            </w:r>
            <w:r>
              <w:t xml:space="preserve"> ≤ 1.5 </w:t>
            </w:r>
            <w:r>
              <w:t xml:space="preserve"> </w:t>
            </w:r>
            <w:r>
              <w:t>秒，工作流单节点执行可观测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平台可用性</w:t>
            </w:r>
            <w:r>
              <w:t xml:space="preserve"> </w:t>
            </w:r>
            <w:r>
              <w:t xml:space="preserve"> ≥ 99.9%</w:t>
            </w:r>
            <w:r>
              <w:t xml:space="preserve"> </w:t>
            </w:r>
            <w:r>
              <w:t>，模型网关多活路由，单模型故障自动降级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等保三级；数据分类分级与安全区隔离；生成内容双审；全操作台账留痕可审计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信创适配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支持国产化芯片、操作系统、数据库与中间件部署；模型层支持国产大模型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可扩展性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域（空间）可配置扩展；技能与专家支持市场机制横向扩展；模型接入标准化</w:t>
            </w:r>
          </w:p>
        </w:tc>
      </w:tr>
    </w:tbl>
    <w:p>
      <w:bookmarkStart w:id="16" w:name="_Toc_s8"/>
      <w:bookmarkStart w:id="7" w:name="s8"/>
      <w:pPr>
        <w:pStyle w:val="Heading2"/>
        <w:spacing w:before="550" w:after="165"/>
        <w:pBdr>
          <w:left w:val="single" w:sz="24" w:space="6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八、实施路线概要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周期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目标与范围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验收门禁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一期：最小闭环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0–6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移动端用户端（小程序</w:t>
            </w:r>
            <w:r>
              <w:t xml:space="preserve"> </w:t>
            </w:r>
            <w:r>
              <w:t>+H5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管理端最小配置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运营端最简版；跑通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接入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执行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计量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结算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主链路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注册用户</w:t>
            </w:r>
            <w:r>
              <w:t xml:space="preserve"> </w:t>
            </w:r>
            <w:r>
              <w:t xml:space="preserve"> 1000+</w:t>
            </w:r>
            <w:r>
              <w:t xml:space="preserve"> </w:t>
            </w:r>
            <w:r>
              <w:t>，日活</w:t>
            </w:r>
            <w:r>
              <w:t xml:space="preserve"> </w:t>
            </w:r>
            <w:r>
              <w:t xml:space="preserve"> 200+</w:t>
            </w:r>
            <w:r>
              <w:t xml:space="preserve"> </w:t>
            </w:r>
            <w:r>
              <w:t>，核心链路端到端可用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二期：协同深化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6–12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PC </w:t>
            </w:r>
            <w:r>
              <w:t xml:space="preserve"> </w:t>
            </w:r>
            <w:r>
              <w:t>端、文档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会议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看板协同、工作流可视化编排、完整会员与运营体系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政务数字员工</w:t>
            </w:r>
            <w:r>
              <w:t xml:space="preserve"> </w:t>
            </w:r>
            <w:r>
              <w:t xml:space="preserve"> 10+ </w:t>
            </w:r>
            <w:r>
              <w:t xml:space="preserve"> </w:t>
            </w:r>
            <w:r>
              <w:t>场景落地，付费企业</w:t>
            </w:r>
            <w:r>
              <w:t xml:space="preserve"> </w:t>
            </w:r>
            <w:r>
              <w:t xml:space="preserve"> 50+ </w:t>
            </w:r>
            <w:r>
              <w:t xml:space="preserve"> </w:t>
            </w:r>
            <w:r>
              <w:t>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三期：生态开放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12–24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开放端（</w:t>
            </w:r>
            <w:r>
              <w:t xml:space="preserve"> </w:t>
            </w:r>
            <w:r>
              <w:t>API/SDK</w:t>
            </w:r>
            <w:r>
              <w:t xml:space="preserve"> </w:t>
            </w:r>
            <w:r>
              <w:t>）、技能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专家市场、开放应用生态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第三方应用</w:t>
            </w:r>
            <w:r>
              <w:t xml:space="preserve"> </w:t>
            </w:r>
            <w:r>
              <w:t xml:space="preserve"> 30+</w:t>
            </w:r>
            <w:r>
              <w:t xml:space="preserve"> </w:t>
            </w:r>
            <w:r>
              <w:t>，形成可持续运营的商业闭环</w:t>
            </w:r>
          </w:p>
        </w:tc>
      </w:tr>
    </w:tbl>
    <w:p>
      <w:bookmarkStart w:id="17" w:name="_Toc_appendix"/>
      <w:bookmarkStart w:id="8" w:name="appendix"/>
      <w:pPr>
        <w:pStyle w:val="Heading2"/>
        <w:spacing w:before="550" w:after="165"/>
        <w:pBdr>
          <w:left w:val="single" w:sz="24" w:space="6" w:color="1565C0"/>
        </w:pBdr>
      </w:pPr>
      <w:bookmarkEnd w:id="8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附录：五域 41 实体清单总表</w:t>
      </w:r>
      <w:bookmarkEnd w:id="17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下表为</w:t>
      </w:r>
      <w:r>
        <w:t xml:space="preserve"> AIOA </w:t>
      </w:r>
      <w:r>
        <w:rPr>
          <w:rFonts w:ascii="微软雅黑" w:eastAsia="微软雅黑" w:hAnsi="微软雅黑" w:cs="微软雅黑" w:hint="eastAsia"/>
          <w:lang w:eastAsia="zh-CN"/>
        </w:rPr>
        <w:t>对象模型基线的完整实体清单，编号为全文档体系统一编号。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英文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归属域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定位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Tenant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多租户顶层隔离单元，数据隔离与计费总边界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机构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Organization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具有法人资格的组织实体（政企社团）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部门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Department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机构内行政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业务条线，树形结构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Team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跨部门跨机构动态协作单元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Individual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最小身份主体，实名接入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Permission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RBAC + </w:t>
            </w:r>
            <w:r>
              <w:t xml:space="preserve"> </w:t>
            </w:r>
            <w:r>
              <w:t>行级数据权限授权体系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域（空间）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Domain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可配置业务空间（政务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企业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市民域）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Security Zone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域内按敏感等级划分的隔离区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开放应用凭证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App Credential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企业开发者应用身份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接入凭证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风控策略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Risk Control Policy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智能体内容与行为安全治理规则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Portal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统一入口，角色化一屏办公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Project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核心业务容器，组织任务资源知识成员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Plan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时间维度工作安排，分解为任务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Task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最小执行单元，人工或智能体执行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Workflow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流程编排引擎，串联任务技能审批连接器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Approval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先审后动的合规卡点节点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里程碑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Milestone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项目关键节点，进度度量与考核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Document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起草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共编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润色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归档协同载体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表单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Form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结构化采集界面，审批与工作流输入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Meeting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会议秘书：汇编、纪要、待办派发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Board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驾驶舱与督办看板，</w:t>
            </w:r>
            <w:r>
              <w:t xml:space="preserve"> </w:t>
            </w:r>
            <w:r>
              <w:t xml:space="preserve">NL2SQL </w:t>
            </w:r>
            <w:r>
              <w:t xml:space="preserve"> </w:t>
            </w:r>
            <w:r>
              <w:t>取数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Session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人机交互原始载体与服务过程凭证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消息通知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Notification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站内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短信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公众号统一触达通道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Timer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周期触发自动化任务与例行工作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Knowledge Base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RAG </w:t>
            </w:r>
            <w:r>
              <w:t xml:space="preserve"> </w:t>
            </w:r>
            <w:r>
              <w:t>检索增强核心载体，多级挂载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资料库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Document Library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原始资料管理，知识库的源头两态管理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Skill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可复用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能力单元（提示词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编排）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Expert Agent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垂直领域智能体角色，直接服务入口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智能体实例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Agent Instance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专家运行时形态（数字员工），有身份与生命周期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记忆库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Memory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跨会话三层个性化记忆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连接器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Connector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外部系统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工具标准化集成通道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Database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自建结构化数仓，自然语言建表与查询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Model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模型超市资产，统一网关路由接入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Resource Pool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普惠算力配额化载体，分配与计量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Token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统一计量度量衡，连接调用与计费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Membership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五级分层权益体系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账本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Ledger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计量计费账务中枢，流水只增不改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Order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交易凭证，连接账本与支付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Payment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在线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对公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政务专户结算通道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台账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Audit Trail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全程留痕审计（管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），哈希链防篡改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评价反馈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Feedback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质量闭环，评分纠错反哺能力迭代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备注：本文档为</w:t>
      </w:r>
      <w:r>
        <w:t xml:space="preserve"> AIOA </w:t>
      </w:r>
      <w:r>
        <w:rPr>
          <w:rFonts w:ascii="微软雅黑" w:eastAsia="微软雅黑" w:hAnsi="微软雅黑" w:cs="微软雅黑" w:hint="eastAsia"/>
          <w:lang w:eastAsia="zh-CN"/>
        </w:rPr>
        <w:t>产品架构概要基线（</w:t>
      </w:r>
      <w:r>
        <w:t>V1.1</w:t>
      </w:r>
      <w:r>
        <w:rPr>
          <w:rFonts w:ascii="微软雅黑" w:eastAsia="微软雅黑" w:hAnsi="微软雅黑" w:cs="微软雅黑" w:hint="eastAsia"/>
          <w:lang w:eastAsia="zh-CN"/>
        </w:rPr>
        <w:t>），实体名称、属性与架构切分可在项目组评审后修订；确认后的基线将作为技术方案详细设计（数据模型、接口定义）的直接输入。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