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2"/>
      </w:pPr>
      <w:r>
        <w:rPr>
          <w:rFonts w:ascii="Microsoft YaHei" w:hAnsi="Microsoft YaHei" w:eastAsia="Microsoft YaHei" w:cs="Microsoft YaHei" w:hint="eastAsia"/>
          <w:b/>
          <w:sz w:val="33"/>
          <w:lang w:eastAsia="zh-CN"/>
        </w:rPr>
        <w:t>AIOA 研发路线补充说明：实体分级与 PoC 验证计划</w:t>
      </w:r>
    </w:p>
    <w:p>
      <w:pPr>
        <w:spacing w:before="0" w:after="0"/>
        <w:jc w:val="center"/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地级市人工智能公共服务平台</w:t>
      </w:r>
      <w:r>
        <w:rPr>
          <w:color w:val="5B6577"/>
          <w:sz w:val="15"/>
        </w:rPr>
        <w:t xml:space="preserve"> · AI </w:t>
      </w: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工作台（</w:t>
      </w:r>
      <w:r>
        <w:rPr>
          <w:color w:val="5B6577"/>
          <w:sz w:val="15"/>
        </w:rPr>
        <w:t>AIOA</w:t>
      </w: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）</w:t>
      </w:r>
      <w:r>
        <w:rPr>
          <w:color w:val="5B6577"/>
          <w:sz w:val="15"/>
        </w:rPr>
        <w:t xml:space="preserve">· </w:t>
      </w: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技术方案附件</w:t>
      </w:r>
      <w:r/>
    </w:p>
    <w:p>
      <w:pPr>
        <w:spacing w:before="39" w:after="189"/>
        <w:jc w:val="center"/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编制：AI 工作台项目组 | 2026 年 9 月 | 与《AIOA 技术方案》配套使用</w:t>
      </w:r>
      <w:r/>
    </w:p>
    <w:p>
      <w:pPr>
        <w:pStyle w:val="Heading2"/>
        <w:spacing w:before="0" w:after="6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核心结论</w:t>
      </w:r>
    </w:p>
    <w:p>
      <w:pPr>
        <w:spacing w:before="0" w:after="0"/>
        <w:jc w:val="both"/>
      </w:pPr>
      <w:r>
        <w:t xml:space="preserve">41 </w:t>
      </w:r>
      <w:r>
        <w:rPr>
          <w:rFonts w:ascii="Microsoft YaHei" w:eastAsia="Microsoft YaHei" w:hAnsi="Microsoft YaHei" w:cs="Microsoft YaHei" w:hint="eastAsia"/>
          <w:lang w:eastAsia="zh-CN"/>
        </w:rPr>
        <w:t>个实体的对象模型基线保持完整不变，作为平台长期蓝图；但实现顺序调整为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"P0 核心实体牵引 + 场景原型先行 + PoC 验证选型"</w:t>
      </w:r>
      <w:r>
        <w:rPr>
          <w:rFonts w:ascii="Microsoft YaHei" w:eastAsia="Microsoft YaHei" w:hAnsi="Microsoft YaHei" w:cs="Microsoft YaHei" w:hint="eastAsia"/>
          <w:lang w:eastAsia="zh-CN"/>
        </w:rPr>
        <w:t>。一期开发只承诺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级</w:t>
      </w:r>
      <w:r>
        <w:t xml:space="preserve"> 12 </w:t>
      </w:r>
      <w:r>
        <w:rPr>
          <w:rFonts w:ascii="Microsoft YaHei" w:eastAsia="Microsoft YaHei" w:hAnsi="Microsoft YaHei" w:cs="Microsoft YaHei" w:hint="eastAsia"/>
          <w:lang w:eastAsia="zh-CN"/>
        </w:rPr>
        <w:t>个实体撑起的最小闭环，另安排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周技术验证（</w:t>
      </w:r>
      <w:r>
        <w:t>PoC</w:t>
      </w:r>
      <w:r>
        <w:rPr>
          <w:rFonts w:ascii="Microsoft YaHei" w:eastAsia="Microsoft YaHei" w:hAnsi="Microsoft YaHei" w:cs="Microsoft YaHei" w:hint="eastAsia"/>
          <w:lang w:eastAsia="zh-CN"/>
        </w:rPr>
        <w:t>）以真实数据支撑框架选型与预算口径。此调整不改变预算总额，仅改变风险释放节奏。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一、研发路线修订：由"模型牵引"改为"场景牵引、模型护航"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110"/>
        <w:gridCol w:w="4147"/>
      </w:tblGrid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环节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原路线（模型先行）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修订路线（场景牵引）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实体模型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41 </w:t>
            </w:r>
            <w:r>
              <w:t xml:space="preserve"> </w:t>
            </w:r>
            <w:r>
              <w:t>个实体全部作为设计基线并直接进入开发范围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基线保持</w:t>
            </w:r>
            <w:r>
              <w:t xml:space="preserve"> </w:t>
            </w:r>
            <w:r>
              <w:t xml:space="preserve"> 41 </w:t>
            </w:r>
            <w:r>
              <w:t xml:space="preserve"> </w:t>
            </w:r>
            <w:r>
              <w:t>个，但按</w:t>
            </w:r>
            <w:r>
              <w:t xml:space="preserve"> </w:t>
            </w:r>
            <w:r>
              <w:t xml:space="preserve"> P0/P1/P2 </w:t>
            </w:r>
            <w:r>
              <w:t xml:space="preserve"> </w:t>
            </w:r>
            <w:r>
              <w:t>分级；</w:t>
            </w:r>
            <w:r>
              <w:t xml:space="preserve"> </w:t>
            </w:r>
            <w:r>
              <w:rPr>
                <w:b/>
                <w:color w:val="1E4FC0"/>
              </w:rPr>
              <w:t>一期只实现 P0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P1/P2 </w:t>
            </w:r>
            <w:r>
              <w:t xml:space="preserve"> </w:t>
            </w:r>
            <w:r>
              <w:t>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基线预留、随验证迭代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框架选型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基于公开格局评估直接选定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选型结论前置一道 </w:t>
            </w:r>
            <w:r>
              <w:rPr>
                <w:b/>
                <w:color w:val="1E4FC0"/>
              </w:rPr>
              <w:t>2 周 PoC 技术验证</w:t>
            </w:r>
            <w:r>
              <w:t xml:space="preserve"> ，用真实开发摩擦数据确认或修正选型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产品设计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实体模型完整后展开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场景原型（可点击</w:t>
            </w:r>
            <w:r>
              <w:t xml:space="preserve"> </w:t>
            </w:r>
            <w:r>
              <w:t xml:space="preserve"> Demo</w:t>
            </w:r>
            <w:r>
              <w:t xml:space="preserve"> </w:t>
            </w:r>
            <w:r>
              <w:t>）先行，经目标用户试用后再进入详细设计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验证环节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内审为主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增加外部评审（目标单位信息科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企业用户</w:t>
            </w:r>
            <w:r>
              <w:t xml:space="preserve"> </w:t>
            </w:r>
            <w:r>
              <w:t xml:space="preserve"> 2–3 </w:t>
            </w:r>
            <w:r>
              <w:t xml:space="preserve"> </w:t>
            </w:r>
            <w:r>
              <w:t>场）与竞争对标分析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二、41 个实体三级分级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分级依据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对最小闭环的不可或缺程度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确定，全部</w:t>
      </w:r>
      <w:r>
        <w:t xml:space="preserve"> 41 </w:t>
      </w:r>
      <w:r>
        <w:rPr>
          <w:rFonts w:ascii="Microsoft YaHei" w:eastAsia="Microsoft YaHei" w:hAnsi="Microsoft YaHei" w:cs="Microsoft YaHei" w:hint="eastAsia"/>
          <w:lang w:eastAsia="zh-CN"/>
        </w:rPr>
        <w:t>个实体均保留在基线内，分级只决定实现时序与一期验收范围。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2.1 P0 核心实体（12 个）—— 一期必交付，撑起最小闭环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判据：缺一不可地支撑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接入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会话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计量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计费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审计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主链路。包括：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租户、个人、权限、会话、专家、技能、知识库、模型、词元、账本、支付、台账</w:t>
      </w:r>
      <w:r>
        <w:rPr>
          <w:rFonts w:ascii="Microsoft YaHei" w:eastAsia="Microsoft YaHei" w:hAnsi="Microsoft YaHei" w:cs="Microsoft YaHei" w:hint="eastAsia"/>
          <w:lang w:eastAsia="zh-CN"/>
        </w:rPr>
        <w:t>。一期验收以这</w:t>
      </w:r>
      <w:r>
        <w:t xml:space="preserve"> 12 </w:t>
      </w:r>
      <w:r>
        <w:rPr>
          <w:rFonts w:ascii="Microsoft YaHei" w:eastAsia="Microsoft YaHei" w:hAnsi="Microsoft YaHei" w:cs="Microsoft YaHei" w:hint="eastAsia"/>
          <w:lang w:eastAsia="zh-CN"/>
        </w:rPr>
        <w:t>个实体构成的闭环能否被真实用户跑通为准。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2.2 P1 协作深化实体（19 个）—— 一期最小配置、二期丰满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判据：显著提升组织化协作效率，但单个用户可绕行。包括：机构、部门、团队、项目、计划、任务、里程碑、定时器、工作流、审批、消息通知、资料库、连接器、数据库、资源池、会员、订单、门户、文档。一期仅实现其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发额度、能看账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所需的最小配置（资源池、会员、订单的最简版）。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2.3 P2 生态与增强实体（10 个）—— 基线预留、三期及按需实现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判据：生态开放与体验增强类，依赖前两级实体沉淀数据后才有价值。包括：域（空间域）、安全区、开放应用凭证、评价反馈、智能体实例、记忆库、表单、会议、看板、专家评价闭环配套。若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验证中暴露更高优先级，可提前升级。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三、PoC 技术验证计划（2 周，3 人，费用计入一期人力）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2938"/>
        <w:gridCol w:w="2765"/>
        <w:gridCol w:w="2246"/>
      </w:tblGrid>
      <w:tr>
        <w:tc>
          <w:tcPr>
            <w:tcW w:type="pct" w:w="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序号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验证内容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验证目标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通过门禁（量化）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AgentScope 2.0 </w:t>
            </w:r>
            <w:r>
              <w:t xml:space="preserve"> </w:t>
            </w:r>
            <w:r>
              <w:t>跑通移动端流式会话（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事件流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小程序流式渲染）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验证事件流协议与移动端适配的开发摩擦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端到端首字延迟</w:t>
            </w:r>
            <w:r>
              <w:t xml:space="preserve"> </w:t>
            </w:r>
            <w:r>
              <w:t xml:space="preserve"> ≤ 2 </w:t>
            </w:r>
            <w:r>
              <w:t xml:space="preserve"> </w:t>
            </w:r>
            <w:r>
              <w:t>秒，流式渲染无卡断，投入</w:t>
            </w:r>
            <w:r>
              <w:t xml:space="preserve"> </w:t>
            </w:r>
            <w:r>
              <w:t xml:space="preserve"> ≤ 4 </w:t>
            </w:r>
            <w:r>
              <w:t xml:space="preserve"> </w:t>
            </w:r>
            <w:r>
              <w:t>人日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一个带审批卡点（</w:t>
            </w:r>
            <w:r>
              <w:t xml:space="preserve"> </w:t>
            </w:r>
            <w:r>
              <w:t>HITL</w:t>
            </w:r>
            <w:r>
              <w:t xml:space="preserve"> </w:t>
            </w:r>
            <w:r>
              <w:t>）的工作流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全流程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验证工作流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审批实体在框架上的落地难度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审批断点、驳回重跑、留痕三项全部走通，投入</w:t>
            </w:r>
            <w:r>
              <w:t xml:space="preserve"> </w:t>
            </w:r>
            <w:r>
              <w:t xml:space="preserve"> ≤ 5 </w:t>
            </w:r>
            <w:r>
              <w:t xml:space="preserve"> </w:t>
            </w:r>
            <w:r>
              <w:t>人日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3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词元计量上报与账本记账联调（含多模型路由）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验证计量计费链路与模型网关的集成成本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双模型路由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词元精确计量误差</w:t>
            </w:r>
            <w:r>
              <w:t xml:space="preserve"> </w:t>
            </w:r>
            <w:r>
              <w:t xml:space="preserve"> ≤ 1%</w:t>
            </w:r>
            <w:r>
              <w:t xml:space="preserve"> </w:t>
            </w:r>
            <w:r>
              <w:t>，投入</w:t>
            </w:r>
            <w:r>
              <w:t xml:space="preserve"> </w:t>
            </w:r>
            <w:r>
              <w:t xml:space="preserve"> ≤ 5 </w:t>
            </w:r>
            <w:r>
              <w:t xml:space="preserve"> </w:t>
            </w:r>
            <w:r>
              <w:t>人日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三项全部通过：维持</w:t>
      </w:r>
      <w:r>
        <w:t xml:space="preserve"> AgentScope 2.0 </w:t>
      </w:r>
      <w:r>
        <w:rPr>
          <w:rFonts w:ascii="Microsoft YaHei" w:eastAsia="Microsoft YaHei" w:hAnsi="Microsoft YaHei" w:cs="Microsoft YaHei" w:hint="eastAsia"/>
          <w:lang w:eastAsia="zh-CN"/>
        </w:rPr>
        <w:t>选型，预算口径有效；任一项超门禁</w:t>
      </w:r>
      <w:r>
        <w:t xml:space="preserve"> 50% </w:t>
      </w:r>
      <w:r>
        <w:rPr>
          <w:rFonts w:ascii="Microsoft YaHei" w:eastAsia="Microsoft YaHei" w:hAnsi="Microsoft YaHei" w:cs="Microsoft YaHei" w:hint="eastAsia"/>
          <w:lang w:eastAsia="zh-CN"/>
        </w:rPr>
        <w:t>以上：触发选型复审（</w:t>
      </w:r>
      <w:r>
        <w:t xml:space="preserve">LangGraph </w:t>
      </w:r>
      <w:r>
        <w:rPr>
          <w:rFonts w:ascii="Microsoft YaHei" w:eastAsia="Microsoft YaHei" w:hAnsi="Microsoft YaHei" w:cs="Microsoft YaHei" w:hint="eastAsia"/>
          <w:lang w:eastAsia="zh-CN"/>
        </w:rPr>
        <w:t>备选或调整自研边界），并同步复核一期预算。</w:t>
      </w:r>
      <w:r>
        <w:t xml:space="preserve">PoC </w:t>
      </w:r>
      <w:r>
        <w:rPr>
          <w:rFonts w:ascii="Microsoft YaHei" w:eastAsia="Microsoft YaHei" w:hAnsi="Microsoft YaHei" w:cs="Microsoft YaHei" w:hint="eastAsia"/>
          <w:lang w:eastAsia="zh-CN"/>
        </w:rPr>
        <w:t>产出一页纸结论直接附入可行性评估。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四、外部评审与竞争对标（与 PoC 并行）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竞争对标一页纸</w:t>
      </w:r>
      <w:r>
        <w:rPr>
          <w:rFonts w:ascii="Microsoft YaHei" w:eastAsia="Microsoft YaHei" w:hAnsi="Microsoft YaHei" w:cs="Microsoft YaHei" w:hint="eastAsia"/>
          <w:lang w:eastAsia="zh-CN"/>
        </w:rPr>
        <w:t>：回答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市民和企业为什么不用钉钉</w:t>
      </w:r>
      <w:r>
        <w:t xml:space="preserve"> AI / </w:t>
      </w:r>
      <w:r>
        <w:rPr>
          <w:rFonts w:ascii="Microsoft YaHei" w:eastAsia="Microsoft YaHei" w:hAnsi="Microsoft YaHei" w:cs="Microsoft YaHei" w:hint="eastAsia"/>
          <w:lang w:eastAsia="zh-CN"/>
        </w:rPr>
        <w:t>飞书智能体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现有政务服务</w:t>
      </w:r>
      <w:r>
        <w:t>App"</w:t>
      </w:r>
      <w:r>
        <w:rPr>
          <w:rFonts w:ascii="Microsoft YaHei" w:eastAsia="Microsoft YaHei" w:hAnsi="Microsoft YaHei" w:cs="Microsoft YaHei" w:hint="eastAsia"/>
          <w:lang w:eastAsia="zh-CN"/>
        </w:rPr>
        <w:t>，明确</w:t>
      </w:r>
      <w:r>
        <w:t xml:space="preserve"> AIOA </w:t>
      </w:r>
      <w:r>
        <w:rPr>
          <w:rFonts w:ascii="Microsoft YaHei" w:eastAsia="Microsoft YaHei" w:hAnsi="Microsoft YaHei" w:cs="Microsoft YaHei" w:hint="eastAsia"/>
          <w:lang w:eastAsia="zh-CN"/>
        </w:rPr>
        <w:t>差异化锚点（普惠算力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本地政务数据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数字员工进组织），作为功能优先级裁决标准；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外部评审 2–3 场</w:t>
      </w:r>
      <w:r>
        <w:rPr>
          <w:rFonts w:ascii="Microsoft YaHei" w:eastAsia="Microsoft YaHei" w:hAnsi="Microsoft YaHei" w:cs="Microsoft YaHei" w:hint="eastAsia"/>
          <w:lang w:eastAsia="zh-CN"/>
        </w:rPr>
        <w:t>：拿实体模型</w:t>
      </w:r>
      <w:r>
        <w:t xml:space="preserve"> V1.1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原型，请目标单位信息科与企业用户挑毛病，重点验证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实体清单与分级是否有遗漏错位；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回补机制</w:t>
      </w:r>
      <w:r>
        <w:rPr>
          <w:rFonts w:ascii="Microsoft YaHei" w:eastAsia="Microsoft YaHei" w:hAnsi="Microsoft YaHei" w:cs="Microsoft YaHei" w:hint="eastAsia"/>
          <w:lang w:eastAsia="zh-CN"/>
        </w:rPr>
        <w:t>：评审与</w:t>
      </w:r>
      <w:r>
        <w:t xml:space="preserve"> PoC </w:t>
      </w:r>
      <w:r>
        <w:rPr>
          <w:rFonts w:ascii="Microsoft YaHei" w:eastAsia="Microsoft YaHei" w:hAnsi="Microsoft YaHei" w:cs="Microsoft YaHei" w:hint="eastAsia"/>
          <w:lang w:eastAsia="zh-CN"/>
        </w:rPr>
        <w:t>结论回写对象模型（升级</w:t>
      </w:r>
      <w:r>
        <w:t xml:space="preserve"> V1.2</w:t>
      </w:r>
      <w:r>
        <w:rPr>
          <w:rFonts w:ascii="Microsoft YaHei" w:eastAsia="Microsoft YaHei" w:hAnsi="Microsoft YaHei" w:cs="Microsoft YaHei" w:hint="eastAsia"/>
          <w:lang w:eastAsia="zh-CN"/>
        </w:rPr>
        <w:t>），确保模型始终是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被验证的基线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而非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纸面蓝图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before="189"/>
        <w:jc w:val="center"/>
        <w:pBdr>
          <w:top w:val="single" w:sz="6" w:space="4" w:color="DDE3EC"/>
        </w:pBdr>
      </w:pPr>
      <w:r>
        <w:rPr>
          <w:rFonts w:ascii="Microsoft YaHei" w:eastAsia="Microsoft YaHei" w:hAnsi="Microsoft YaHei" w:cs="Microsoft YaHei" w:hint="eastAsia"/>
          <w:sz w:val="15"/>
          <w:lang w:eastAsia="zh-CN"/>
        </w:rPr>
        <w:t>本说明为研发路线补充口径，实体完整定义详见《AI 工作台对象实体详细描述》，总体设计详见《AIOA 技术方案》。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6" w:lineRule="auto"/>
      <w:jc w:val="both"/>
    </w:pPr>
    <w:rPr>
      <w:rFonts w:ascii="PingFang SC" w:hAnsi="PingFang SC" w:eastAsia="PingFang SC"/>
      <w:color w:val="1A22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PingFang SC" w:hAnsi="PingFang SC" w:eastAsia="PingFang SC"/>
      <w:b/>
      <w:bCs/>
      <w:color w:val="1E4FC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ingFang SC" w:hAnsi="PingFang SC" w:eastAsia="PingFang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