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2"/>
      </w:pPr>
      <w:r>
        <w:rPr>
          <w:rFonts w:ascii="Microsoft YaHei" w:hAnsi="Microsoft YaHei" w:eastAsia="Microsoft YaHei" w:cs="Microsoft YaHei" w:hint="eastAsia"/>
          <w:b/>
          <w:sz w:val="33"/>
          <w:lang w:eastAsia="zh-CN"/>
        </w:rPr>
        <w:t>AIOA 客户端小程序 P0 需求规格说明书</w:t>
      </w:r>
    </w:p>
    <w:p>
      <w:pPr>
        <w:spacing w:before="0" w:after="0"/>
        <w:jc w:val="center"/>
      </w:pPr>
      <w:r>
        <w:rPr>
          <w:rFonts w:ascii="Microsoft YaHei" w:eastAsia="Microsoft YaHei" w:hAnsi="Microsoft YaHei" w:cs="Microsoft YaHei" w:hint="eastAsia"/>
          <w:color w:val="5B6577"/>
          <w:sz w:val="15"/>
          <w:lang w:eastAsia="zh-CN"/>
        </w:rPr>
        <w:t>地级市人工智能公共服务平台</w:t>
      </w:r>
      <w:r>
        <w:rPr>
          <w:color w:val="5B6577"/>
          <w:sz w:val="15"/>
        </w:rPr>
        <w:t xml:space="preserve"> · AI </w:t>
      </w:r>
      <w:r>
        <w:rPr>
          <w:rFonts w:ascii="Microsoft YaHei" w:eastAsia="Microsoft YaHei" w:hAnsi="Microsoft YaHei" w:cs="Microsoft YaHei" w:hint="eastAsia"/>
          <w:color w:val="5B6577"/>
          <w:sz w:val="15"/>
          <w:lang w:eastAsia="zh-CN"/>
        </w:rPr>
        <w:t>工作台（</w:t>
      </w:r>
      <w:r>
        <w:rPr>
          <w:color w:val="5B6577"/>
          <w:sz w:val="15"/>
        </w:rPr>
        <w:t>AIOA</w:t>
      </w:r>
      <w:r>
        <w:rPr>
          <w:rFonts w:ascii="Microsoft YaHei" w:eastAsia="Microsoft YaHei" w:hAnsi="Microsoft YaHei" w:cs="Microsoft YaHei" w:hint="eastAsia"/>
          <w:color w:val="5B6577"/>
          <w:sz w:val="15"/>
          <w:lang w:eastAsia="zh-CN"/>
        </w:rPr>
        <w:t>）</w:t>
      </w:r>
      <w:r>
        <w:rPr>
          <w:color w:val="5B6577"/>
          <w:sz w:val="15"/>
        </w:rPr>
        <w:t xml:space="preserve">· </w:t>
      </w:r>
      <w:r>
        <w:rPr>
          <w:rFonts w:ascii="Microsoft YaHei" w:eastAsia="Microsoft YaHei" w:hAnsi="Microsoft YaHei" w:cs="Microsoft YaHei" w:hint="eastAsia"/>
          <w:color w:val="5B6577"/>
          <w:sz w:val="15"/>
          <w:lang w:eastAsia="zh-CN"/>
        </w:rPr>
        <w:t>一期移动端</w:t>
      </w:r>
      <w:r>
        <w:rPr>
          <w:color w:val="5B6577"/>
          <w:sz w:val="15"/>
        </w:rPr>
        <w:t xml:space="preserve"> MVP</w:t>
      </w:r>
      <w:r/>
    </w:p>
    <w:p>
      <w:pPr>
        <w:spacing w:before="39" w:after="189"/>
        <w:jc w:val="center"/>
      </w:pPr>
      <w:r>
        <w:rPr>
          <w:rFonts w:ascii="Microsoft YaHei" w:eastAsia="Microsoft YaHei" w:hAnsi="Microsoft YaHei" w:cs="Microsoft YaHei" w:hint="eastAsia"/>
          <w:color w:val="5B6577"/>
          <w:sz w:val="15"/>
          <w:lang w:eastAsia="zh-CN"/>
        </w:rPr>
        <w:t>版本：V1.0 | 编制：AI 工作台项目组 | 2026 年 9 月 | 配套《AIOA 技术方案》与《实体分级与 PoC 验证计划》</w:t>
      </w:r>
      <w:r/>
    </w:p>
    <w:p>
      <w:pPr>
        <w:pStyle w:val="Heading2"/>
        <w:spacing w:before="0" w:after="60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Microsoft YaHei" w:hAnsi="Microsoft YaHei" w:eastAsia="Microsoft YaHei" w:cs="Microsoft YaHei" w:hint="eastAsia"/>
          <w:b/>
          <w:color w:val="1E4FC0"/>
          <w:sz w:val="22"/>
          <w:lang w:eastAsia="zh-CN"/>
        </w:rPr>
        <w:t>文档说明</w:t>
      </w:r>
    </w:p>
    <w:p>
      <w:pPr>
        <w:spacing w:before="0" w:after="0"/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本说明书覆盖一期（</w:t>
      </w:r>
      <w:r>
        <w:t xml:space="preserve">0–6 </w:t>
      </w:r>
      <w:r>
        <w:rPr>
          <w:rFonts w:ascii="Microsoft YaHei" w:eastAsia="Microsoft YaHei" w:hAnsi="Microsoft YaHei" w:cs="Microsoft YaHei" w:hint="eastAsia"/>
          <w:lang w:eastAsia="zh-CN"/>
        </w:rPr>
        <w:t>个月）移动端</w:t>
      </w:r>
      <w:r>
        <w:t xml:space="preserve"> MVP </w:t>
      </w:r>
      <w:r>
        <w:rPr>
          <w:rFonts w:ascii="Microsoft YaHei" w:eastAsia="Microsoft YaHei" w:hAnsi="Microsoft YaHei" w:cs="Microsoft YaHei" w:hint="eastAsia"/>
          <w:lang w:eastAsia="zh-CN"/>
        </w:rPr>
        <w:t>的全部功能需求，范围严格限定为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P0 级 12 个实体</w:t>
      </w:r>
      <w:r>
        <w:rPr>
          <w:rFonts w:ascii="Microsoft YaHei" w:eastAsia="Microsoft YaHei" w:hAnsi="Microsoft YaHei" w:cs="Microsoft YaHei" w:hint="eastAsia"/>
          <w:lang w:eastAsia="zh-CN"/>
        </w:rPr>
        <w:t>（租户、个人、权限、会话、专家、技能、知识库、模型、词元、账本、支付、台账）撑起的最小闭环：</w:t>
      </w: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注册实名 → 进入工作台 → 选择专家/技能 → 会话交互 → 词元计量 → 额度扣减 → 留痕审计</w:t>
      </w:r>
      <w:r>
        <w:rPr>
          <w:rFonts w:ascii="Microsoft YaHei" w:eastAsia="Microsoft YaHei" w:hAnsi="Microsoft YaHei" w:cs="Microsoft YaHei" w:hint="eastAsia"/>
          <w:lang w:eastAsia="zh-CN"/>
        </w:rPr>
        <w:t>。每条功能需求带唯一编号与验收标准，直接作为一期验收依据。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1E4FC0"/>
          <w:sz w:val="22"/>
          <w:lang w:eastAsia="zh-CN"/>
        </w:rPr>
        <w:t>一、引言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本说明书面向</w:t>
      </w:r>
      <w:r>
        <w:t xml:space="preserve"> AIOA </w:t>
      </w:r>
      <w:r>
        <w:rPr>
          <w:rFonts w:ascii="Microsoft YaHei" w:eastAsia="Microsoft YaHei" w:hAnsi="Microsoft YaHei" w:cs="Microsoft YaHei" w:hint="eastAsia"/>
          <w:lang w:eastAsia="zh-CN"/>
        </w:rPr>
        <w:t>客户端小程序（微信小程序</w:t>
      </w:r>
      <w:r>
        <w:t xml:space="preserve"> + H5 </w:t>
      </w:r>
      <w:r>
        <w:rPr>
          <w:rFonts w:ascii="Microsoft YaHei" w:eastAsia="Microsoft YaHei" w:hAnsi="Microsoft YaHei" w:cs="Microsoft YaHei" w:hint="eastAsia"/>
          <w:lang w:eastAsia="zh-CN"/>
        </w:rPr>
        <w:t>双形态）的设计、开发与验收。读者为研发团队、产品经理与项目评审方。编写依据为《</w:t>
      </w:r>
      <w:r>
        <w:t xml:space="preserve">AIOA </w:t>
      </w:r>
      <w:r>
        <w:rPr>
          <w:rFonts w:ascii="Microsoft YaHei" w:eastAsia="Microsoft YaHei" w:hAnsi="Microsoft YaHei" w:cs="Microsoft YaHei" w:hint="eastAsia"/>
          <w:lang w:eastAsia="zh-CN"/>
        </w:rPr>
        <w:t>技术方案》确定的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一套底座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四端应用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架构与</w:t>
      </w:r>
      <w:r>
        <w:t xml:space="preserve"> P0 </w:t>
      </w:r>
      <w:r>
        <w:rPr>
          <w:rFonts w:ascii="Microsoft YaHei" w:eastAsia="Microsoft YaHei" w:hAnsi="Microsoft YaHei" w:cs="Microsoft YaHei" w:hint="eastAsia"/>
          <w:lang w:eastAsia="zh-CN"/>
        </w:rPr>
        <w:t>实体分级结论；凡</w:t>
      </w:r>
      <w:r>
        <w:t xml:space="preserve"> P1/P2 </w:t>
      </w:r>
      <w:r>
        <w:rPr>
          <w:rFonts w:ascii="Microsoft YaHei" w:eastAsia="Microsoft YaHei" w:hAnsi="Microsoft YaHei" w:cs="Microsoft YaHei" w:hint="eastAsia"/>
          <w:lang w:eastAsia="zh-CN"/>
        </w:rPr>
        <w:t>实体相关功能（工作流编排、项目协作、开放平台等）均不在本文档范围内，仅在预留接口处标注。</w:t>
      </w:r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1E4FC0"/>
          <w:sz w:val="22"/>
          <w:lang w:eastAsia="zh-CN"/>
        </w:rPr>
        <w:t>二、用户角色与总体业务流程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本节界定一期小程序的四类用户角色及其核心诉求，并给出贯穿</w:t>
      </w:r>
      <w:r>
        <w:t xml:space="preserve"> P0 </w:t>
      </w:r>
      <w:r>
        <w:rPr>
          <w:rFonts w:ascii="Microsoft YaHei" w:eastAsia="Microsoft YaHei" w:hAnsi="Microsoft YaHei" w:cs="Microsoft YaHei" w:hint="eastAsia"/>
          <w:lang w:eastAsia="zh-CN"/>
        </w:rPr>
        <w:t>实体的主链路业务流程，作为功能需求分解的基准场景。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19"/>
          <w:lang w:eastAsia="zh-CN"/>
        </w:rPr>
        <w:t>2.1 用户角色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2592"/>
        <w:gridCol w:w="4493"/>
      </w:tblGrid>
      <w:tr>
        <w:tc>
          <w:tcPr>
            <w:tcW w:type="pct" w:w="9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角色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定义</w:t>
            </w:r>
          </w:p>
        </w:tc>
        <w:tc>
          <w:tcPr>
            <w:tcW w:type="pct" w:w="2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一期核心诉求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市民个人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经实名认证的独立用户，属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个人租户</w:t>
            </w:r>
            <w:r>
              <w:t xml:space="preserve"> </w:t>
            </w:r>
            <w:r>
              <w:t>"</w:t>
            </w:r>
          </w:p>
        </w:tc>
        <w:tc>
          <w:tcPr>
            <w:tcW w:type="pct" w:w="2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政策咨询、办事指引、日常问答，享受每日免费词元额度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企业员工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所属企业租户下的成员用户</w:t>
            </w:r>
          </w:p>
        </w:tc>
        <w:tc>
          <w:tcPr>
            <w:tcW w:type="pct" w:w="2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使用企业知识库问答、公文写作、数据分析，消耗企业套餐额度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租户管理员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企业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单位租户的管理角色</w:t>
            </w:r>
          </w:p>
        </w:tc>
        <w:tc>
          <w:tcPr>
            <w:tcW w:type="pct" w:w="2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成员管理、知识库建设、部门额度分配与用量查看（一期最简版）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平台运营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平台方运营人员</w:t>
            </w:r>
          </w:p>
        </w:tc>
        <w:tc>
          <w:tcPr>
            <w:tcW w:type="pct" w:w="2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额度发放、词元定价、账目核对、留痕审计（运营端承载，小程序端不涉及）</w:t>
            </w:r>
          </w:p>
        </w:tc>
      </w:tr>
    </w:tbl>
    <w:p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19"/>
          <w:lang w:eastAsia="zh-CN"/>
        </w:rPr>
        <w:t>2.2 主链路业务流程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864"/>
        <w:gridCol w:w="2246"/>
        <w:gridCol w:w="2765"/>
        <w:gridCol w:w="2765"/>
      </w:tblGrid>
      <w:tr>
        <w:tc>
          <w:tcPr>
            <w:tcW w:type="pct" w:w="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步骤</w:t>
            </w:r>
          </w:p>
        </w:tc>
        <w:tc>
          <w:tcPr>
            <w:tcW w:type="pct" w:w="1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环节</w:t>
            </w:r>
          </w:p>
        </w:tc>
        <w:tc>
          <w:tcPr>
            <w:tcW w:type="pct" w:w="1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用户动作</w:t>
            </w:r>
          </w:p>
        </w:tc>
        <w:tc>
          <w:tcPr>
            <w:tcW w:type="pct" w:w="1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系统行为（对应</w:t>
            </w:r>
            <w:r>
              <w:rPr>
                <w:b/>
                <w:color w:val="F4F7FC"/>
              </w:rPr>
              <w:t xml:space="preserve"> </w:t>
            </w:r>
            <w:r>
              <w:rPr>
                <w:b/>
                <w:color w:val="F4F7FC"/>
              </w:rPr>
              <w:t xml:space="preserve"> P0 </w:t>
            </w:r>
            <w:r>
              <w:rPr>
                <w:b/>
                <w:color w:val="F4F7FC"/>
              </w:rPr>
              <w:t xml:space="preserve"> </w:t>
            </w:r>
            <w:r>
              <w:rPr>
                <w:b/>
                <w:color w:val="F4F7FC"/>
              </w:rPr>
              <w:t>实体）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1</w:t>
            </w:r>
          </w:p>
        </w:tc>
        <w:tc>
          <w:tcPr>
            <w:tcW w:type="pct" w:w="1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注册与实名</w:t>
            </w:r>
          </w:p>
        </w:tc>
        <w:tc>
          <w:tcPr>
            <w:tcW w:type="pct" w:w="1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微信授权登录、手机号绑定、实名认证</w:t>
            </w:r>
          </w:p>
        </w:tc>
        <w:tc>
          <w:tcPr>
            <w:tcW w:type="pct" w:w="1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创建个人与所属租户归属（个人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权限）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2</w:t>
            </w:r>
          </w:p>
        </w:tc>
        <w:tc>
          <w:tcPr>
            <w:tcW w:type="pct" w:w="1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进入工作台</w:t>
            </w:r>
          </w:p>
        </w:tc>
        <w:tc>
          <w:tcPr>
            <w:tcW w:type="pct" w:w="1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打开小程序，查看额度与推荐专家</w:t>
            </w:r>
          </w:p>
        </w:tc>
        <w:tc>
          <w:tcPr>
            <w:tcW w:type="pct" w:w="1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读取词元余额、加载专家与技能列表（词元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专家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技能）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3</w:t>
            </w:r>
          </w:p>
        </w:tc>
        <w:tc>
          <w:tcPr>
            <w:tcW w:type="pct" w:w="1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发起会话</w:t>
            </w:r>
          </w:p>
        </w:tc>
        <w:tc>
          <w:tcPr>
            <w:tcW w:type="pct" w:w="1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选择专家或技能，输入问题，可引用知识库文档</w:t>
            </w:r>
          </w:p>
        </w:tc>
        <w:tc>
          <w:tcPr>
            <w:tcW w:type="pct" w:w="1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建立会话，组装上下文（会话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知识库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模型）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4</w:t>
            </w:r>
          </w:p>
        </w:tc>
        <w:tc>
          <w:tcPr>
            <w:tcW w:type="pct" w:w="1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流式应答</w:t>
            </w:r>
          </w:p>
        </w:tc>
        <w:tc>
          <w:tcPr>
            <w:tcW w:type="pct" w:w="1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查看流式输出、引用来源、消耗提示</w:t>
            </w:r>
          </w:p>
        </w:tc>
        <w:tc>
          <w:tcPr>
            <w:tcW w:type="pct" w:w="1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模型流式生成，实时计量词元（模型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词元）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5</w:t>
            </w:r>
          </w:p>
        </w:tc>
        <w:tc>
          <w:tcPr>
            <w:tcW w:type="pct" w:w="1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结算留痕</w:t>
            </w:r>
          </w:p>
        </w:tc>
        <w:tc>
          <w:tcPr>
            <w:tcW w:type="pct" w:w="1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评价回答质量（点赞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纠错）</w:t>
            </w:r>
          </w:p>
        </w:tc>
        <w:tc>
          <w:tcPr>
            <w:tcW w:type="pct" w:w="1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词元入账、余额更新、会话与操作留痕（账本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台账）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6</w:t>
            </w:r>
          </w:p>
        </w:tc>
        <w:tc>
          <w:tcPr>
            <w:tcW w:type="pct" w:w="1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额度用尽</w:t>
            </w:r>
          </w:p>
        </w:tc>
        <w:tc>
          <w:tcPr>
            <w:tcW w:type="pct" w:w="1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查看账单，购买词元包或套餐</w:t>
            </w:r>
          </w:p>
        </w:tc>
        <w:tc>
          <w:tcPr>
            <w:tcW w:type="pct" w:w="1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生成订单、支付、额度到账（支付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账本）</w:t>
            </w:r>
          </w:p>
        </w:tc>
      </w:tr>
    </w:tbl>
    <w:p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1E4FC0"/>
          <w:sz w:val="22"/>
          <w:lang w:eastAsia="zh-CN"/>
        </w:rPr>
        <w:t>三、功能需求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功能需求按八个模块编号（</w:t>
      </w:r>
      <w:r>
        <w:t xml:space="preserve">FR-A </w:t>
      </w:r>
      <w:r>
        <w:rPr>
          <w:rFonts w:ascii="Microsoft YaHei" w:eastAsia="Microsoft YaHei" w:hAnsi="Microsoft YaHei" w:cs="Microsoft YaHei" w:hint="eastAsia"/>
          <w:lang w:eastAsia="zh-CN"/>
        </w:rPr>
        <w:t>至</w:t>
      </w:r>
      <w:r>
        <w:t xml:space="preserve"> FR-H</w:t>
      </w:r>
      <w:r>
        <w:rPr>
          <w:rFonts w:ascii="Microsoft YaHei" w:eastAsia="Microsoft YaHei" w:hAnsi="Microsoft YaHei" w:cs="Microsoft YaHei" w:hint="eastAsia"/>
          <w:lang w:eastAsia="zh-CN"/>
        </w:rPr>
        <w:t>），优先级分为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必须（</w:t>
      </w:r>
      <w:r>
        <w:t>M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可选（</w:t>
      </w:r>
      <w:r>
        <w:t>O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两档；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必须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项为一期验收门禁，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可选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项视</w:t>
      </w:r>
      <w:r>
        <w:t xml:space="preserve"> PoC </w:t>
      </w:r>
      <w:r>
        <w:rPr>
          <w:rFonts w:ascii="Microsoft YaHei" w:eastAsia="Microsoft YaHei" w:hAnsi="Microsoft YaHei" w:cs="Microsoft YaHei" w:hint="eastAsia"/>
          <w:lang w:eastAsia="zh-CN"/>
        </w:rPr>
        <w:t>与排期决定。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功能需求按八个模块编号（</w:t>
      </w:r>
      <w:r>
        <w:t xml:space="preserve">FR-A </w:t>
      </w:r>
      <w:r>
        <w:rPr>
          <w:rFonts w:ascii="Microsoft YaHei" w:eastAsia="Microsoft YaHei" w:hAnsi="Microsoft YaHei" w:cs="Microsoft YaHei" w:hint="eastAsia"/>
          <w:lang w:eastAsia="zh-CN"/>
        </w:rPr>
        <w:t>至</w:t>
      </w:r>
      <w:r>
        <w:t xml:space="preserve"> FR-H</w:t>
      </w:r>
      <w:r>
        <w:rPr>
          <w:rFonts w:ascii="Microsoft YaHei" w:eastAsia="Microsoft YaHei" w:hAnsi="Microsoft YaHei" w:cs="Microsoft YaHei" w:hint="eastAsia"/>
          <w:lang w:eastAsia="zh-CN"/>
        </w:rPr>
        <w:t>），优先级分为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必须（</w:t>
      </w:r>
      <w:r>
        <w:t>M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可选（</w:t>
      </w:r>
      <w:r>
        <w:t>O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两档；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必须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项为一期验收门禁，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可选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项视</w:t>
      </w:r>
      <w:r>
        <w:t xml:space="preserve"> PoC </w:t>
      </w:r>
      <w:r>
        <w:rPr>
          <w:rFonts w:ascii="Microsoft YaHei" w:eastAsia="Microsoft YaHei" w:hAnsi="Microsoft YaHei" w:cs="Microsoft YaHei" w:hint="eastAsia"/>
          <w:lang w:eastAsia="zh-CN"/>
        </w:rPr>
        <w:t>与排期决定。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19"/>
          <w:lang w:eastAsia="zh-CN"/>
        </w:rPr>
        <w:t>3.1 账户与身份（对应实体：个人、租户）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2592"/>
        <w:gridCol w:w="3802"/>
        <w:gridCol w:w="1210"/>
      </w:tblGrid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编号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功能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需求描述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优先级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FR-A1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微信授权登录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一键微信授权登录，自动创建个人账户；登录态有效期不少于</w:t>
            </w:r>
            <w:r>
              <w:t xml:space="preserve"> </w:t>
            </w:r>
            <w:r>
              <w:t xml:space="preserve"> 7 </w:t>
            </w:r>
            <w:r>
              <w:t xml:space="preserve"> </w:t>
            </w:r>
            <w:r>
              <w:t>天，静默续期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FR-A2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手机号绑定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授权手机号或短信验证码绑定，作为账户唯一标识与找回凭据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FR-A3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实名认证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身份证二要素核验；个人页展示实名等级徽标；未实名用户仅可体验限量问答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FR-A4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组织归属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用户可经邀请码加入企业租户；支持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个人身份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企业成员身份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切换，切换后额度与知识库范围随之切换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FR-A5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个人资料与偏好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昵称、头像、行业标签、常用场景偏好设置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O</w:t>
            </w:r>
          </w:p>
        </w:tc>
      </w:tr>
    </w:tbl>
    <w:p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19"/>
          <w:lang w:eastAsia="zh-CN"/>
        </w:rPr>
        <w:t>3.2 权限与额度准入（对应实体：权限）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2592"/>
        <w:gridCol w:w="3802"/>
        <w:gridCol w:w="1210"/>
      </w:tblGrid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编号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功能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需求描述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优先级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FR-B1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角色权限控制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平台运营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租户管理员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普通用户三级角色；接口层按角色校验，未授权操作返回明确提示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FR-B2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额度准入前置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发起会话前校验词元余额：充足则放行；不足则展示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今日免费额度已用完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引导页（购买或明日再试）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FR-B3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知识库访问隔离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个人知识库仅本人可见；企业知识库仅本租户成员可见；跨租户数据零泄露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</w:tbl>
    <w:p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19"/>
          <w:lang w:eastAsia="zh-CN"/>
        </w:rPr>
        <w:t>3.3 专家服务（对应实体：专家）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2592"/>
        <w:gridCol w:w="3802"/>
        <w:gridCol w:w="1210"/>
      </w:tblGrid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编号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功能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需求描述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优先级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FR-C1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专家列表与详情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按领域分类展示专家卡片（名称、简介、标签、服务说明）；详情页含能力介绍、开场白与推荐问题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FR-C2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专家会话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点击专家直接进入会话，携带该专家的人设、绑定技能与知识库上下文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FR-C3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推荐问题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详情页与空会话页展示</w:t>
            </w:r>
            <w:r>
              <w:t xml:space="preserve"> </w:t>
            </w:r>
            <w:r>
              <w:t xml:space="preserve"> 3–5 </w:t>
            </w:r>
            <w:r>
              <w:t xml:space="preserve"> </w:t>
            </w:r>
            <w:r>
              <w:t>个推荐问题，点击即发送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FR-C4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专家评价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会话结束后可对本次服务点赞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点踩并附一句话评价，写入台账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O</w:t>
            </w:r>
          </w:p>
        </w:tc>
      </w:tr>
    </w:tbl>
    <w:p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19"/>
          <w:lang w:eastAsia="zh-CN"/>
        </w:rPr>
        <w:t>3.4 会话交互（对应实体：会话、模型）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2592"/>
        <w:gridCol w:w="3802"/>
        <w:gridCol w:w="1210"/>
      </w:tblGrid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编号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功能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需求描述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优先级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FR-D1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流式输出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回答以流式方式逐段呈现，端到端首字延迟</w:t>
            </w:r>
            <w:r>
              <w:t xml:space="preserve"> </w:t>
            </w:r>
            <w:r>
              <w:t xml:space="preserve"> ≤ 2 </w:t>
            </w:r>
            <w:r>
              <w:t xml:space="preserve"> </w:t>
            </w:r>
            <w:r>
              <w:t>秒；支持中途停止生成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FR-D2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多轮上下文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同一会话内保持上下文，支持追问；单会话上下文轮数上限可配置（默认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轮）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FR-D3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会话管理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历史会话列表、重命名、删除；删除为逻辑删除并留痕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FR-D4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模型选择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会话页可切换平台已上架模型（标注各模型特点与计费倍率）；默认由平台智能路由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FR-D5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引用溯源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回答引用知识库内容时，在答案下方展示来源条目，点击可查看原文片段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FR-D6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审批卡点演示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涉及敏感操作（如对外发文的起草结果）时，会话内出现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提交审批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卡片，同意后进入预留的工作流通道（一期为演示链路）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O</w:t>
            </w:r>
          </w:p>
        </w:tc>
      </w:tr>
    </w:tbl>
    <w:p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19"/>
          <w:lang w:eastAsia="zh-CN"/>
        </w:rPr>
        <w:t>3.5 技能调用（对应实体：技能）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2592"/>
        <w:gridCol w:w="3802"/>
        <w:gridCol w:w="1210"/>
      </w:tblGrid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编号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功能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需求描述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优先级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FR-E1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技能列表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首页快捷入口展示平台技能（公文写作、合同初审、数据分析、办事指引等），带图标与一句话说明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FR-E2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技能结构化输入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点击技能进入结构化表单（如公文写作：文种、主题、要点、字数），提交后生成结果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FR-E3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结果再加工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技能产出可复制、可存为个人资料文件、可转入会话继续追问修改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</w:tbl>
    <w:p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19"/>
          <w:lang w:eastAsia="zh-CN"/>
        </w:rPr>
        <w:t>3.6 知识库（对应实体：知识库）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2592"/>
        <w:gridCol w:w="3802"/>
        <w:gridCol w:w="1210"/>
      </w:tblGrid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编号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功能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需求描述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优先级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FR-F1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个人知识库上传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</w:t>
            </w:r>
            <w:r>
              <w:t xml:space="preserve"> </w:t>
            </w:r>
            <w:r>
              <w:t xml:space="preserve"> PDF/Word/Excel/</w:t>
            </w:r>
            <w:r>
              <w:t xml:space="preserve"> </w:t>
            </w:r>
            <w:r>
              <w:t>图片</w:t>
            </w:r>
            <w:r>
              <w:t xml:space="preserve"> </w:t>
            </w:r>
            <w:r>
              <w:t xml:space="preserve">/TXT </w:t>
            </w:r>
            <w:r>
              <w:t xml:space="preserve"> </w:t>
            </w:r>
            <w:r>
              <w:t>上传（单文件</w:t>
            </w:r>
            <w:r>
              <w:t xml:space="preserve"> </w:t>
            </w:r>
            <w:r>
              <w:t xml:space="preserve"> ≤ 50MB</w:t>
            </w:r>
            <w:r>
              <w:t xml:space="preserve"> </w:t>
            </w:r>
            <w:r>
              <w:t>），显示解析与入库进度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FR-F2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入库状态管理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文件列表展示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解析中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已入库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失败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三态；失败可重试；入库后参与问答检索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FR-F3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知识库开关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会话内可开关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引用我的知识库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，开启后回答优先检索个人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企业知识库并展示引用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FR-F4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企业知识库（管理员）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租户管理员可上传与管理企业共享知识库（一期最简版：上传、删除、可见性开关）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O</w:t>
            </w:r>
          </w:p>
        </w:tc>
      </w:tr>
    </w:tbl>
    <w:p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19"/>
          <w:lang w:eastAsia="zh-CN"/>
        </w:rPr>
        <w:t>3.7 词元计量、账本与支付（对应实体：词元、账本、支付）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2592"/>
        <w:gridCol w:w="3802"/>
        <w:gridCol w:w="1210"/>
      </w:tblGrid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编号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功能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需求描述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优先级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FR-G1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额度总览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首页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我的额度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卡片：今日免费额度剩余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本月套餐剩余，进度条展示，低于</w:t>
            </w:r>
            <w:r>
              <w:t xml:space="preserve"> </w:t>
            </w:r>
            <w:r>
              <w:t xml:space="preserve"> 20% </w:t>
            </w:r>
            <w:r>
              <w:t xml:space="preserve"> </w:t>
            </w:r>
            <w:r>
              <w:t>变色提醒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FR-G2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实时计量展示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每轮回答完成后展示本次消耗词元数（输入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输出分列）与折合金额；数据写入账本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FR-G3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用量账单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按日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月聚合的消耗明细（时间、专家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技能、模型、词元、金额），支持导出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FR-G4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词元包购买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套餐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词元包商品列表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下单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微信支付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额度实时到账；订单状态可查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FR-G5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对公购买通道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企业租户支持对公转账购买（线下汇款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后台核销到账），小程序端展示到账状态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O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FR-G6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额度用尽引导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余额不足时提供三条路径：明日免费额度、购买词元包、企业开通套餐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</w:tbl>
    <w:p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19"/>
          <w:lang w:eastAsia="zh-CN"/>
        </w:rPr>
        <w:t>3.8 台账与安全（对应实体：台账）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2592"/>
        <w:gridCol w:w="3802"/>
        <w:gridCol w:w="1210"/>
      </w:tblGrid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编号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功能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需求描述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优先级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FR-H1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操作留痕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登录、会话、上传、购买、删除等关键操作全量留痕（时间、对象、结果），用户不可篡改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FR-H2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我的留痕查询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个人页提供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我的操作记录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入口，支持按时间与操作类型筛选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FR-H3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内容合规双审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输入与输出均过内容安全审核；命中敏感内容时中止应答并给出合规提示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FR-H4</w:t>
            </w:r>
          </w:p>
        </w:tc>
        <w:tc>
          <w:tcPr>
            <w:tcW w:type="pct" w:w="15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投诉与纠错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回答页提供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反馈问题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入口（错误、有害、侵权三类），提交后进入平台处理流程</w:t>
            </w:r>
          </w:p>
        </w:tc>
        <w:tc>
          <w:tcPr>
            <w:tcW w:type="pct" w:w="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t>M</w:t>
            </w:r>
          </w:p>
        </w:tc>
      </w:tr>
    </w:tbl>
    <w:p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1E4FC0"/>
          <w:sz w:val="22"/>
          <w:lang w:eastAsia="zh-CN"/>
        </w:rPr>
        <w:t>四、关键交互与非功能需求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本节约定直接决定用户体验与合规底线的三条交互设计约束，以及一期必须达到的非功能指标，作为详细设计与测试用例的输入。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19"/>
          <w:lang w:eastAsia="zh-CN"/>
        </w:rPr>
        <w:t>4.1 三个关键交互设计约束</w:t>
      </w:r>
      <w:r/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额度前置可见</w:t>
      </w:r>
      <w:r>
        <w:rPr>
          <w:rFonts w:ascii="Microsoft YaHei" w:eastAsia="Microsoft YaHei" w:hAnsi="Microsoft YaHei" w:cs="Microsoft YaHei" w:hint="eastAsia"/>
          <w:lang w:eastAsia="zh-CN"/>
        </w:rPr>
        <w:t>：额度信息常驻首页与会话页顶部，用户发起任何消耗性操作前都能看到余额与预计消耗，杜绝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隐性扣费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争议；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来源可追溯</w:t>
      </w:r>
      <w:r>
        <w:rPr>
          <w:rFonts w:ascii="Microsoft YaHei" w:eastAsia="Microsoft YaHei" w:hAnsi="Microsoft YaHei" w:cs="Microsoft YaHei" w:hint="eastAsia"/>
          <w:lang w:eastAsia="zh-CN"/>
        </w:rPr>
        <w:t>：凡引用知识库的回答必须带来源条目，无来源时明示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基于模型通用知识回答，请注意甄别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b/>
          <w:color w:val="1E4FC0"/>
          <w:lang w:eastAsia="zh-CN"/>
        </w:rPr>
        <w:t>留痕即服务</w:t>
      </w:r>
      <w:r>
        <w:rPr>
          <w:rFonts w:ascii="Microsoft YaHei" w:eastAsia="Microsoft YaHei" w:hAnsi="Microsoft YaHei" w:cs="Microsoft YaHei" w:hint="eastAsia"/>
          <w:lang w:eastAsia="zh-CN"/>
        </w:rPr>
        <w:t>：留痕不是后台暗操作，个人页向用户开放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我的操作记录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，政务场景下形成平台与用户的双向信任。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sz w:val="19"/>
          <w:lang w:eastAsia="zh-CN"/>
        </w:rPr>
        <w:t>4.2 非功能需求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3110"/>
        <w:gridCol w:w="3802"/>
      </w:tblGrid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维度</w:t>
            </w:r>
          </w:p>
        </w:tc>
        <w:tc>
          <w:tcPr>
            <w:tcW w:type="pct" w:w="1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指标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说明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</w:t>
            </w:r>
          </w:p>
        </w:tc>
        <w:tc>
          <w:tcPr>
            <w:tcW w:type="pct" w:w="1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首字延迟</w:t>
            </w:r>
            <w:r>
              <w:t xml:space="preserve"> </w:t>
            </w:r>
            <w:r>
              <w:t xml:space="preserve"> ≤ 2s</w:t>
            </w:r>
            <w:r>
              <w:t xml:space="preserve"> </w:t>
            </w:r>
            <w:r>
              <w:t>；页面首屏</w:t>
            </w:r>
            <w:r>
              <w:t xml:space="preserve"> </w:t>
            </w:r>
            <w:r>
              <w:t xml:space="preserve"> ≤ 1.5s</w:t>
            </w:r>
            <w:r>
              <w:t xml:space="preserve"> </w:t>
            </w:r>
            <w:r>
              <w:t>；并发支持</w:t>
            </w:r>
            <w:r>
              <w:t xml:space="preserve"> </w:t>
            </w:r>
            <w:r>
              <w:t xml:space="preserve"> ≥ 500 </w:t>
            </w:r>
            <w:r>
              <w:t xml:space="preserve"> </w:t>
            </w:r>
            <w:r>
              <w:t>在线会话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首字延迟为一期验收硬门禁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可用性</w:t>
            </w:r>
          </w:p>
        </w:tc>
        <w:tc>
          <w:tcPr>
            <w:tcW w:type="pct" w:w="1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核心链路可用率</w:t>
            </w:r>
            <w:r>
              <w:t xml:space="preserve"> </w:t>
            </w:r>
            <w:r>
              <w:t xml:space="preserve"> ≥ 99.5%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会话、计量、支付三大链路降级预案齐备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</w:t>
            </w:r>
          </w:p>
        </w:tc>
        <w:tc>
          <w:tcPr>
            <w:tcW w:type="pct" w:w="1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等保三级；传输</w:t>
            </w:r>
            <w:r>
              <w:t xml:space="preserve"> </w:t>
            </w:r>
            <w:r>
              <w:t xml:space="preserve"> TLS1.2+</w:t>
            </w:r>
            <w:r>
              <w:t xml:space="preserve"> </w:t>
            </w:r>
            <w:r>
              <w:t>；敏感字段加密存储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实名信息、支付凭据加密脱敏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合规</w:t>
            </w:r>
          </w:p>
        </w:tc>
        <w:tc>
          <w:tcPr>
            <w:tcW w:type="pct" w:w="1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生成内容双审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留痕保存</w:t>
            </w:r>
            <w:r>
              <w:t xml:space="preserve"> </w:t>
            </w:r>
            <w:r>
              <w:t xml:space="preserve"> ≥ 3 </w:t>
            </w:r>
            <w:r>
              <w:t xml:space="preserve"> </w:t>
            </w:r>
            <w:r>
              <w:t>年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满足互联网信息服务深度合成管理规定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兼容</w:t>
            </w:r>
          </w:p>
        </w:tc>
        <w:tc>
          <w:tcPr>
            <w:tcW w:type="pct" w:w="18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微信</w:t>
            </w:r>
            <w:r>
              <w:t xml:space="preserve"> </w:t>
            </w:r>
            <w:r>
              <w:t xml:space="preserve"> 8.0+ / </w:t>
            </w:r>
            <w:r>
              <w:t xml:space="preserve"> </w:t>
            </w:r>
            <w:r>
              <w:t>主流安卓与</w:t>
            </w:r>
            <w:r>
              <w:t xml:space="preserve"> </w:t>
            </w:r>
            <w:r>
              <w:t xml:space="preserve"> iOS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H5 </w:t>
            </w:r>
            <w:r>
              <w:t xml:space="preserve"> </w:t>
            </w:r>
            <w:r>
              <w:t>覆盖主流浏览器</w:t>
            </w:r>
          </w:p>
        </w:tc>
        <w:tc>
          <w:tcPr>
            <w:tcW w:type="pct" w:w="22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uni-app </w:t>
            </w:r>
            <w:r>
              <w:t xml:space="preserve"> </w:t>
            </w:r>
            <w:r>
              <w:t>一套代码双形态</w:t>
            </w:r>
          </w:p>
        </w:tc>
      </w:tr>
    </w:tbl>
    <w:p>
      <w:r/>
    </w:p>
    <w:p>
      <w:pPr>
        <w:pStyle w:val="Heading2"/>
      </w:pPr>
      <w:r>
        <w:rPr>
          <w:rFonts w:ascii="Microsoft YaHei" w:hAnsi="Microsoft YaHei" w:eastAsia="Microsoft YaHei" w:cs="Microsoft YaHei" w:hint="eastAsia"/>
          <w:b/>
          <w:color w:val="1E4FC0"/>
          <w:sz w:val="22"/>
          <w:lang w:eastAsia="zh-CN"/>
        </w:rPr>
        <w:t>五、验收标准与实体映射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本节给出可量化的一期验收门禁，并附</w:t>
      </w:r>
      <w:r>
        <w:t xml:space="preserve"> P0 </w:t>
      </w:r>
      <w:r>
        <w:rPr>
          <w:rFonts w:ascii="Microsoft YaHei" w:eastAsia="Microsoft YaHei" w:hAnsi="Microsoft YaHei" w:cs="Microsoft YaHei" w:hint="eastAsia"/>
          <w:lang w:eastAsia="zh-CN"/>
        </w:rPr>
        <w:t>实体与功能模块、小程序界面的双向映射表，确保需求、对象模型与原型三者口径一致。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19"/>
          <w:lang w:eastAsia="zh-CN"/>
        </w:rPr>
        <w:t>5.1 一期验收门禁（M 级功能全通过）</w:t>
      </w:r>
      <w:r/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lang w:eastAsia="zh-CN"/>
        </w:rPr>
        <w:t>新用户从注册到完成首次专家问答全流程</w:t>
      </w:r>
      <w:r>
        <w:t xml:space="preserve"> ≤ 3 </w:t>
      </w:r>
      <w:r>
        <w:rPr>
          <w:rFonts w:ascii="Microsoft YaHei" w:eastAsia="Microsoft YaHei" w:hAnsi="Microsoft YaHei" w:cs="Microsoft YaHei" w:hint="eastAsia"/>
          <w:lang w:eastAsia="zh-CN"/>
        </w:rPr>
        <w:t>分钟；</w:t>
      </w:r>
    </w:p>
    <w:p>
      <w:pPr>
        <w:pStyle w:val="ListBullet"/>
        <w:spacing w:after="60"/>
      </w:pPr>
      <w:r>
        <w:t xml:space="preserve">100 </w:t>
      </w:r>
      <w:r>
        <w:rPr>
          <w:rFonts w:ascii="Microsoft YaHei" w:eastAsia="Microsoft YaHei" w:hAnsi="Microsoft YaHei" w:cs="Microsoft YaHei" w:hint="eastAsia"/>
          <w:lang w:eastAsia="zh-CN"/>
        </w:rPr>
        <w:t>次抽样问答中词元计量误差</w:t>
      </w:r>
      <w:r>
        <w:t xml:space="preserve"> ≤ 1%</w:t>
      </w:r>
      <w:r>
        <w:rPr>
          <w:rFonts w:ascii="Microsoft YaHei" w:eastAsia="Microsoft YaHei" w:hAnsi="Microsoft YaHei" w:cs="Microsoft YaHei" w:hint="eastAsia"/>
          <w:lang w:eastAsia="zh-CN"/>
        </w:rPr>
        <w:t>，账本流水与台账记录一一对应；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lang w:eastAsia="zh-CN"/>
        </w:rPr>
        <w:t>额度用尽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购买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到账全链路自动完成，无人工干预；</w:t>
      </w:r>
    </w:p>
    <w:p>
      <w:pPr>
        <w:pStyle w:val="ListBullet"/>
        <w:spacing w:after="60"/>
      </w:pPr>
      <w:r>
        <w:rPr>
          <w:rFonts w:ascii="Microsoft YaHei" w:eastAsia="Microsoft YaHei" w:hAnsi="Microsoft YaHei" w:cs="Microsoft YaHei" w:hint="eastAsia"/>
          <w:lang w:eastAsia="zh-CN"/>
        </w:rPr>
        <w:t>注册用户</w:t>
      </w:r>
      <w:r>
        <w:t xml:space="preserve"> ≥ 1000</w:t>
      </w:r>
      <w:r>
        <w:rPr>
          <w:rFonts w:ascii="Microsoft YaHei" w:eastAsia="Microsoft YaHei" w:hAnsi="Microsoft YaHei" w:cs="Microsoft YaHei" w:hint="eastAsia"/>
          <w:lang w:eastAsia="zh-CN"/>
        </w:rPr>
        <w:t>，周活跃</w:t>
      </w:r>
      <w:r>
        <w:t xml:space="preserve"> ≥ 30%</w:t>
      </w:r>
      <w:r>
        <w:rPr>
          <w:rFonts w:ascii="Microsoft YaHei" w:eastAsia="Microsoft YaHei" w:hAnsi="Microsoft YaHei" w:cs="Microsoft YaHei" w:hint="eastAsia"/>
          <w:lang w:eastAsia="zh-CN"/>
        </w:rPr>
        <w:t>（对应技术方案</w:t>
      </w:r>
      <w:r>
        <w:t xml:space="preserve"> M4 </w:t>
      </w:r>
      <w:r>
        <w:rPr>
          <w:rFonts w:ascii="Microsoft YaHei" w:eastAsia="Microsoft YaHei" w:hAnsi="Microsoft YaHei" w:cs="Microsoft YaHei" w:hint="eastAsia"/>
          <w:lang w:eastAsia="zh-CN"/>
        </w:rPr>
        <w:t>门禁）。</w:t>
      </w:r>
      <w:r/>
    </w:p>
    <w:p>
      <w:pPr>
        <w:pStyle w:val="Heading3"/>
      </w:pPr>
      <w:r>
        <w:rPr>
          <w:rFonts w:ascii="Microsoft YaHei" w:hAnsi="Microsoft YaHei" w:eastAsia="Microsoft YaHei" w:cs="Microsoft YaHei" w:hint="eastAsia"/>
          <w:b/>
          <w:sz w:val="19"/>
          <w:lang w:eastAsia="zh-CN"/>
        </w:rPr>
        <w:t>5.2 P0 实体与功能模块映射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2938"/>
        <w:gridCol w:w="3974"/>
      </w:tblGrid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 xml:space="preserve">P0 </w:t>
            </w:r>
            <w:r>
              <w:rPr>
                <w:b/>
                <w:color w:val="F4F7FC"/>
              </w:rPr>
              <w:t xml:space="preserve"> </w:t>
            </w:r>
            <w:r>
              <w:rPr>
                <w:b/>
                <w:color w:val="F4F7FC"/>
              </w:rPr>
              <w:t>实体</w:t>
            </w:r>
          </w:p>
        </w:tc>
        <w:tc>
          <w:tcPr>
            <w:tcW w:type="pct" w:w="1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承载功能模块</w:t>
            </w:r>
          </w:p>
        </w:tc>
        <w:tc>
          <w:tcPr>
            <w:tcW w:type="pct" w:w="2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shd w:val="clear" w:color="auto" w:fill="2F6FED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4F7FC"/>
              </w:rPr>
              <w:t>小程序端核心界面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个人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租户</w:t>
            </w:r>
          </w:p>
        </w:tc>
        <w:tc>
          <w:tcPr>
            <w:tcW w:type="pct" w:w="1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账户与身份（</w:t>
            </w:r>
            <w:r>
              <w:t xml:space="preserve"> </w:t>
            </w:r>
            <w:r>
              <w:t>FR-A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2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登录页、实名页、身份切换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</w:t>
            </w:r>
          </w:p>
        </w:tc>
        <w:tc>
          <w:tcPr>
            <w:tcW w:type="pct" w:w="1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权限与额度准入（</w:t>
            </w:r>
            <w:r>
              <w:t xml:space="preserve"> </w:t>
            </w:r>
            <w:r>
              <w:t>FR-B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2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全局拦截与提示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专家</w:t>
            </w:r>
          </w:p>
        </w:tc>
        <w:tc>
          <w:tcPr>
            <w:tcW w:type="pct" w:w="1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专家服务（</w:t>
            </w:r>
            <w:r>
              <w:t xml:space="preserve"> </w:t>
            </w:r>
            <w:r>
              <w:t>FR-C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2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专家</w:t>
            </w:r>
            <w:r>
              <w:t xml:space="preserve"> </w:t>
            </w:r>
            <w:r>
              <w:t xml:space="preserve"> Tab</w:t>
            </w:r>
            <w:r>
              <w:t xml:space="preserve"> </w:t>
            </w:r>
            <w:r>
              <w:t>、专家详情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模型</w:t>
            </w:r>
          </w:p>
        </w:tc>
        <w:tc>
          <w:tcPr>
            <w:tcW w:type="pct" w:w="1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会话交互（</w:t>
            </w:r>
            <w:r>
              <w:t xml:space="preserve"> </w:t>
            </w:r>
            <w:r>
              <w:t>FR-D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2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</w:t>
            </w:r>
            <w:r>
              <w:t xml:space="preserve"> </w:t>
            </w:r>
            <w:r>
              <w:t xml:space="preserve"> Tab</w:t>
            </w:r>
            <w:r>
              <w:t xml:space="preserve"> </w:t>
            </w:r>
            <w:r>
              <w:t>、聊天界面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</w:t>
            </w:r>
          </w:p>
        </w:tc>
        <w:tc>
          <w:tcPr>
            <w:tcW w:type="pct" w:w="1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技能调用（</w:t>
            </w:r>
            <w:r>
              <w:t xml:space="preserve"> </w:t>
            </w:r>
            <w:r>
              <w:t>FR-E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2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首页快捷入口、技能表单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</w:t>
            </w:r>
          </w:p>
        </w:tc>
        <w:tc>
          <w:tcPr>
            <w:tcW w:type="pct" w:w="1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知识库（</w:t>
            </w:r>
            <w:r>
              <w:t xml:space="preserve"> </w:t>
            </w:r>
            <w:r>
              <w:t>FR-F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2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我的知识库页、引用来源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词元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账本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支付</w:t>
            </w:r>
          </w:p>
        </w:tc>
        <w:tc>
          <w:tcPr>
            <w:tcW w:type="pct" w:w="1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计量账本支付（</w:t>
            </w:r>
            <w:r>
              <w:t xml:space="preserve"> </w:t>
            </w:r>
            <w:r>
              <w:t>FR-G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2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额度卡片、账单页、充值页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台账</w:t>
            </w:r>
          </w:p>
        </w:tc>
        <w:tc>
          <w:tcPr>
            <w:tcW w:type="pct" w:w="17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台账与安全（</w:t>
            </w:r>
            <w:r>
              <w:t xml:space="preserve"> </w:t>
            </w:r>
            <w:r>
              <w:t>FR-H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2300"/>
            <w:vAlign w:val="center"/>
            <w:tcBorders>
              <w:top w:val="single" w:sz="6" w:space="0" w:color="DDE3EC"/>
              <w:bottom w:val="single" w:sz="6" w:space="0" w:color="DDE3EC"/>
              <w:left w:val="single" w:sz="6" w:space="0" w:color="DDE3EC"/>
              <w:right w:val="single" w:sz="6" w:space="0" w:color="DDE3EC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60" w:after="60"/>
            </w:pPr>
            <w:r>
              <w:t>我的操作记录页</w:t>
            </w:r>
          </w:p>
        </w:tc>
      </w:tr>
    </w:tbl>
    <w:p>
      <w:r/>
    </w:p>
    <w:p>
      <w:pPr>
        <w:spacing w:before="189"/>
        <w:jc w:val="center"/>
        <w:pBdr>
          <w:top w:val="single" w:sz="6" w:space="4" w:color="DDE3EC"/>
        </w:pBdr>
      </w:pPr>
      <w:r>
        <w:rPr>
          <w:rFonts w:ascii="Microsoft YaHei" w:eastAsia="Microsoft YaHei" w:hAnsi="Microsoft YaHei" w:cs="Microsoft YaHei" w:hint="eastAsia"/>
          <w:color w:val="5B6577"/>
          <w:sz w:val="15"/>
          <w:lang w:eastAsia="zh-CN"/>
        </w:rPr>
        <w:t>本说明书为 P0 范围基线；P1/P2 实体功能将在二期需求规格中另行编制。配套可交互原型见《AIOA 客户端小程序交互原型》。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6" w:lineRule="auto"/>
      <w:jc w:val="both"/>
    </w:pPr>
    <w:rPr>
      <w:rFonts w:ascii="PingFang SC" w:hAnsi="PingFang SC" w:eastAsia="PingFang SC"/>
      <w:color w:val="1A22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PingFang SC" w:hAnsi="PingFang SC" w:eastAsia="PingFang SC"/>
      <w:b/>
      <w:bCs/>
      <w:color w:val="1E4FC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PingFang SC" w:hAnsi="PingFang SC" w:eastAsia="PingFang SC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