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</w:p>
    <w:p>
      <w:r>
        <w:drawing>
          <wp:inline distT="0" distB="0" distL="114300" distR="114300">
            <wp:extent cx="5274310" cy="2779395"/>
            <wp:effectExtent l="0" t="0" r="889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增加一个功能：原袋出货，需有复核功能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2.1、需单独画逻辑图</w:t>
      </w:r>
    </w:p>
    <w:p>
      <w:r>
        <w:drawing>
          <wp:inline distT="0" distB="0" distL="114300" distR="114300">
            <wp:extent cx="5267960" cy="28403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3、1.2、要重点测试性能； 上线后需重点跟进一下稳定性</w:t>
      </w:r>
    </w:p>
    <w:p>
      <w:pPr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4、订单导入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4.1、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1135" cy="2952115"/>
            <wp:effectExtent l="0" t="0" r="1206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4.2、增加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925570"/>
            <wp:effectExtent l="0" t="0" r="10160" b="1143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4.3、导入标准格式文件（增加shoppe的标准格式）</w:t>
      </w:r>
    </w:p>
    <w:p>
      <w:pPr>
        <w:numPr>
          <w:numId w:val="0"/>
        </w:numPr>
        <w:ind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特别说明：黑色背景栏位由家明跟客户确认是否可以空值，如不能空值，需增加导入栏位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8" o:spt="75" type="#_x0000_t75" style="height:65.5pt;width:72.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xcel.Sheet.12" ShapeID="_x0000_i1028" DrawAspect="Icon" ObjectID="_1468075725" r:id="rId8">
            <o:LockedField>false</o:LockedField>
          </o:OLEObject>
        </w:objec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4.4、导入时，如预报袋栏位有值，需增加生成预报袋数据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4.5、需测试导入速度（一个文件有将近5万票的数据），性能要保持在100票/S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CC8BE1C"/>
    <w:multiLevelType w:val="singleLevel"/>
    <w:tmpl w:val="8CC8BE1C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FD50C7"/>
    <w:rsid w:val="32FD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e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2021-02-04T07:31:00Z</dcterms:created>
  <dc:creator>Simon</dc:creator>
  <cp:lastModifiedBy>Simon</cp:lastModifiedBy>
  <dcterms:modified xsi:type="dcterms:W3CDTF">2021-02-04T08:14:34Z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