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食迅易联 AI 训练与数据智能平台</w:t>
      </w:r>
    </w:p>
    <w:p>
      <w:pPr>
        <w:jc w:val="center"/>
      </w:pPr>
      <w:r>
        <w:rPr>
          <w:b/>
          <w:sz w:val="28"/>
        </w:rPr>
        <w:t>能力概览（对外宣介版）</w:t>
      </w:r>
    </w:p>
    <w:p/>
    <w:p>
      <w:pPr>
        <w:pStyle w:val="Heading1"/>
      </w:pPr>
      <w:r>
        <w:t>一句话</w:t>
      </w:r>
    </w:p>
    <w:p>
      <w:r>
        <w:t>这是一套面向供应链与冷链场景的企业级 AI 数智中枢：把「看得清、算得准、调得快」从口号落到统一门户、标准化智能服务与实时经营洞察，让公司在同一套平台上完成从数据到模型、从模型到业务赋能的全链路闭环。</w:t>
      </w:r>
    </w:p>
    <w:p>
      <w:pPr>
        <w:pStyle w:val="Heading1"/>
      </w:pPr>
      <w:r>
        <w:t>硬核定位（给决策层）</w:t>
      </w:r>
    </w:p>
    <w:p>
      <w:pPr>
        <w:pStyle w:val="ListBullet"/>
      </w:pPr>
      <w:r>
        <w:t>统一数智入口：以一站式工作台与指挥级数据驾驶舱承载核心运营态势，管理层一屏统览、敏捷指挥。</w:t>
      </w:r>
    </w:p>
    <w:p>
      <w:pPr>
        <w:pStyle w:val="ListBullet"/>
      </w:pPr>
      <w:r>
        <w:t>AI 工业化：沉淀数据集—训练—模型库的体系化能力，把人工智能从偶发项目升级为可复用、可版本化、可规模复制的公司资产。</w:t>
      </w:r>
    </w:p>
    <w:p>
      <w:pPr>
        <w:pStyle w:val="ListBullet"/>
      </w:pPr>
      <w:r>
        <w:t>智能应用集群：图像智能识别、票据表格化识别与双单智能比对、经营数据洞察、行情与报价辅助、智能物流可视化等，把一线高频场景自动化、标准化、服务化。</w:t>
      </w:r>
    </w:p>
    <w:p>
      <w:pPr>
        <w:pStyle w:val="ListBullet"/>
      </w:pPr>
      <w:r>
        <w:t>安全可控的演进路径：以服务化接口与只读数据汇聚衔接现有业务系统，不扰动核心交易与账务，实现高起点规划、低风险落地、可持续迭代。</w:t>
      </w:r>
    </w:p>
    <w:p>
      <w:pPr>
        <w:pStyle w:val="Heading1"/>
      </w:pPr>
      <w:r>
        <w:t>业务价值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703"/>
          </w:tcPr>
          <w:p>
            <w:r>
              <w:rPr>
                <w:b/>
              </w:rPr>
              <w:t>价值叙事</w:t>
            </w:r>
          </w:p>
        </w:tc>
      </w:tr>
      <w:tr>
        <w:tc>
          <w:tcPr>
            <w:tcW w:type="dxa" w:w="4703"/>
          </w:tcPr>
          <w:p>
            <w:r>
              <w:t>效益</w:t>
            </w:r>
          </w:p>
        </w:tc>
        <w:tc>
          <w:tcPr>
            <w:tcW w:type="dxa" w:w="4703"/>
          </w:tcPr>
          <w:p>
            <w:r>
              <w:t>以机器视觉与智能文档降低人工录入与目视判断成本，把人力从重复劳动解放到高价值协同。</w:t>
            </w:r>
          </w:p>
        </w:tc>
      </w:tr>
      <w:tr>
        <w:tc>
          <w:tcPr>
            <w:tcW w:type="dxa" w:w="4703"/>
          </w:tcPr>
          <w:p>
            <w:r>
              <w:t>速度与精度</w:t>
            </w:r>
          </w:p>
        </w:tc>
        <w:tc>
          <w:tcPr>
            <w:tcW w:type="dxa" w:w="4703"/>
          </w:tcPr>
          <w:p>
            <w:r>
              <w:t>经营与运营数据实时汇聚、结构化呈现，缩短从现象到认知到决策的时间，减少凭经验拍脑袋的盲区。</w:t>
            </w:r>
          </w:p>
        </w:tc>
      </w:tr>
      <w:tr>
        <w:tc>
          <w:tcPr>
            <w:tcW w:type="dxa" w:w="4703"/>
          </w:tcPr>
          <w:p>
            <w:r>
              <w:t>风险与质量</w:t>
            </w:r>
          </w:p>
        </w:tc>
        <w:tc>
          <w:tcPr>
            <w:tcW w:type="dxa" w:w="4703"/>
          </w:tcPr>
          <w:p>
            <w:r>
              <w:t>票据结构化与比对能力，为对账、风控、合规留痕提供抓手，降低差错与纠纷的隐性损失。</w:t>
            </w:r>
          </w:p>
        </w:tc>
      </w:tr>
      <w:tr>
        <w:tc>
          <w:tcPr>
            <w:tcW w:type="dxa" w:w="4703"/>
          </w:tcPr>
          <w:p>
            <w:r>
              <w:t>前瞻性</w:t>
            </w:r>
          </w:p>
        </w:tc>
        <w:tc>
          <w:tcPr>
            <w:tcW w:type="dxa" w:w="4703"/>
          </w:tcPr>
          <w:p>
            <w:r>
              <w:t>行情与价格指数类能力，为采购节奏、议价空间、供需预判提供外脑式参照，增强市场波动下的韧性。</w:t>
            </w:r>
          </w:p>
        </w:tc>
      </w:tr>
      <w:tr>
        <w:tc>
          <w:tcPr>
            <w:tcW w:type="dxa" w:w="4703"/>
          </w:tcPr>
          <w:p>
            <w:r>
              <w:t>可视化与协同</w:t>
            </w:r>
          </w:p>
        </w:tc>
        <w:tc>
          <w:tcPr>
            <w:tcW w:type="dxa" w:w="4703"/>
          </w:tcPr>
          <w:p>
            <w:r>
              <w:t>物流与冷链相关可视化能力，提升在途可见、异常可预警、资源可调度的现代化供应链运营水准。</w:t>
            </w:r>
          </w:p>
        </w:tc>
      </w:tr>
      <w:tr>
        <w:tc>
          <w:tcPr>
            <w:tcW w:type="dxa" w:w="4703"/>
          </w:tcPr>
          <w:p>
            <w:r>
              <w:t>战略资产</w:t>
            </w:r>
          </w:p>
        </w:tc>
        <w:tc>
          <w:tcPr>
            <w:tcW w:type="dxa" w:w="4703"/>
          </w:tcPr>
          <w:p>
            <w:r>
              <w:t>数据与模型制度化纳管，形成企业第二增长曲线所需的数字化与智能化底座。</w:t>
            </w:r>
          </w:p>
        </w:tc>
      </w:tr>
    </w:tbl>
    <w:p/>
    <w:p>
      <w:pPr>
        <w:pStyle w:val="Heading1"/>
      </w:pPr>
      <w:r>
        <w:t>包装用语（汇报 / PPT 标题）</w:t>
      </w:r>
    </w:p>
    <w:p>
      <w:pPr>
        <w:pStyle w:val="ListBullet"/>
      </w:pPr>
      <w:r>
        <w:t>「从经验供应链到认知供应链」的能力跃迁平台</w:t>
      </w:r>
    </w:p>
    <w:p>
      <w:pPr>
        <w:pStyle w:val="ListBullet"/>
      </w:pPr>
      <w:r>
        <w:t>「数据—算法—决策」一体化数智引擎</w:t>
      </w:r>
    </w:p>
    <w:p>
      <w:pPr>
        <w:pStyle w:val="ListBullet"/>
      </w:pPr>
      <w:r>
        <w:t>企业级 MLOps 轻量级实践：让 AI train once, serve everywhere</w:t>
      </w:r>
    </w:p>
    <w:p>
      <w:pPr>
        <w:pStyle w:val="ListBullet"/>
      </w:pPr>
      <w:r>
        <w:t>指挥台级可视化：经营态势全景透明、秒级感知</w:t>
      </w:r>
    </w:p>
    <w:p>
      <w:pPr>
        <w:pStyle w:val="ListBullet"/>
      </w:pPr>
      <w:r>
        <w:t>智能服务中台化：识别、文档、洞察、物流多能力统一输出、统一治理</w:t>
      </w:r>
    </w:p>
    <w:p>
      <w:pPr>
        <w:pStyle w:val="Heading1"/>
      </w:pPr>
      <w:r>
        <w:t>收尾金句</w:t>
      </w:r>
    </w:p>
    <w:p>
      <w:pPr>
        <w:spacing w:before="120"/>
        <w:ind w:left="283"/>
      </w:pPr>
      <w:r>
        <w:rPr>
          <w:i/>
        </w:rPr>
        <w:t>食迅易联 AI 训练与数据智能平台，不是单一工具，而是公司面向未来的数智操作系统——让每一次识别、每一张单据、每一条曲线，都成为可积累、可放大的竞争壁垒。</w:t>
      </w:r>
    </w:p>
    <w:p/>
    <w:p>
      <w:r>
        <w:rPr>
          <w:color w:val="666666"/>
          <w:sz w:val="18"/>
        </w:rPr>
        <w:t>文档由系统辅助生成，具体内容以实际部署与业务授权为准。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