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食迅易联 AI 训练与数据智能平台</w:t>
      </w:r>
    </w:p>
    <w:p>
      <w:pPr>
        <w:jc w:val="center"/>
      </w:pPr>
      <w:r>
        <w:rPr>
          <w:b/>
          <w:sz w:val="44"/>
        </w:rPr>
        <w:t>项 目 报 告</w:t>
      </w:r>
    </w:p>
    <w:p>
      <w:pPr>
        <w:jc w:val="center"/>
      </w:pPr>
      <w:r>
        <w:rPr>
          <w:sz w:val="28"/>
        </w:rPr>
        <w:t>2026 年 4 月</w:t>
      </w:r>
    </w:p>
    <w:p>
      <w:r>
        <w:br w:type="page"/>
      </w:r>
    </w:p>
    <w:p>
      <w:pPr>
        <w:pStyle w:val="Heading1"/>
      </w:pPr>
      <w:r>
        <w:t>摘  要</w:t>
      </w:r>
    </w:p>
    <w:p>
      <w:r>
        <w:rPr>
          <w:b w:val="0"/>
        </w:rPr>
        <w:t>食迅易联 AI 训练与数据智能平台（以下简称「本平台」）面向供应链与冷链企业经营场景，以「统一门户 + 智能服务 + 数据洞察」为主线，建设企业级人工智能与数据智能能力体系。平台在不替代既有核心业务系统的前提下，通过标准化服务与只读数据汇聚，将图像识别、文档智能、经营分析、物流可视化与市场行情等能力产品化，支撑公司从经验驱动向数据与模型双轮驱动升级，形成可持续沉淀的数智资产。</w:t>
      </w:r>
    </w:p>
    <w:p/>
    <w:p>
      <w:pPr>
        <w:pStyle w:val="Heading2"/>
      </w:pPr>
      <w:r>
        <w:t>关键词</w:t>
      </w:r>
    </w:p>
    <w:p>
      <w:r>
        <w:rPr>
          <w:b w:val="0"/>
        </w:rPr>
        <w:t>人工智能；数据智能；供应链；冷链物流；数智化转型；智能识别；经营洞察</w:t>
      </w:r>
    </w:p>
    <w:p>
      <w:r>
        <w:br w:type="page"/>
      </w:r>
    </w:p>
    <w:p>
      <w:pPr>
        <w:pStyle w:val="Heading1"/>
      </w:pPr>
      <w:r>
        <w:t>一、项目背景与建设目标</w:t>
      </w:r>
    </w:p>
    <w:p>
      <w:pPr>
        <w:pStyle w:val="Heading2"/>
      </w:pPr>
      <w:r>
        <w:t>1.1 建设背景</w:t>
      </w:r>
    </w:p>
    <w:p>
      <w:r>
        <w:rPr>
          <w:b w:val="0"/>
        </w:rPr>
        <w:t>在行业竞争加剧、成本与效率并重的背景下，传统以人工录入、事后报表、经验判断为主的运营模式，难以满足精细化管理与快速响应的要求。人工智能与大数据技术已从概念阶段走向可工程化的生产力工具。公司需建设统一的技术载体，将智能能力以规范、可复用、可度量的方式交付业务与管理。</w:t>
      </w:r>
    </w:p>
    <w:p>
      <w:pPr>
        <w:pStyle w:val="Heading2"/>
      </w:pPr>
      <w:r>
        <w:t>1.2 建设目标</w:t>
      </w:r>
    </w:p>
    <w:p>
      <w:pPr>
        <w:pStyle w:val="ListBullet"/>
      </w:pPr>
      <w:r>
        <w:t>建设企业级 AI 与数据智能统一门户，避免能力碎片化与重复建设。</w:t>
      </w:r>
    </w:p>
    <w:p>
      <w:pPr>
        <w:pStyle w:val="ListBullet"/>
      </w:pPr>
      <w:r>
        <w:t>形成「数据—训练—模型—服务」闭环，使智能能力成为可管理的公司资产。</w:t>
      </w:r>
    </w:p>
    <w:p>
      <w:pPr>
        <w:pStyle w:val="ListBullet"/>
      </w:pPr>
      <w:r>
        <w:t>围绕票据、货品识别、经营分析、物流与市场信息等高频场景，输出可落地的智能应用。</w:t>
      </w:r>
    </w:p>
    <w:p>
      <w:pPr>
        <w:pStyle w:val="ListBullet"/>
      </w:pPr>
      <w:r>
        <w:t>采用与现有业务系统松耦合的架构，保障业务连续性、安全边界与可持续演进。</w:t>
      </w:r>
    </w:p>
    <w:p>
      <w:r>
        <w:br w:type="page"/>
      </w:r>
    </w:p>
    <w:p>
      <w:pPr>
        <w:pStyle w:val="Heading1"/>
      </w:pPr>
      <w:r>
        <w:t>二、总体规划与设计原则</w:t>
      </w:r>
    </w:p>
    <w:p>
      <w:pPr>
        <w:pStyle w:val="Heading2"/>
      </w:pPr>
      <w:r>
        <w:t>2.1 总体定位</w:t>
      </w:r>
    </w:p>
    <w:p>
      <w:r>
        <w:rPr>
          <w:b w:val="0"/>
        </w:rPr>
        <w:t>本平台定位为公司的「数智化能力中枢」：对上支撑管理决策与态势感知，对下服务一线作业与协同；对旁与既有业务系统通过服务接口与受控数据通道衔接，不抢占核心交易与账务职责，专注价值密度更高的智能化与洞察层。</w:t>
      </w:r>
    </w:p>
    <w:p>
      <w:pPr>
        <w:pStyle w:val="Heading2"/>
      </w:pPr>
      <w:r>
        <w:t>2.2 设计原则</w:t>
      </w:r>
    </w:p>
    <w:p>
      <w:pPr>
        <w:pStyle w:val="ListBullet"/>
      </w:pPr>
      <w:r>
        <w:t>一体化：统一入口、统一体验、统一治理，降低学习与运维成本。</w:t>
      </w:r>
    </w:p>
    <w:p>
      <w:pPr>
        <w:pStyle w:val="ListBullet"/>
      </w:pPr>
      <w:r>
        <w:t>服务化：智能能力以标准接口形式输出，便于多端调用与后续集成。</w:t>
      </w:r>
    </w:p>
    <w:p>
      <w:pPr>
        <w:pStyle w:val="ListBullet"/>
      </w:pPr>
      <w:r>
        <w:t>安全可控：业务数据以只读、白名单聚合为主，控制范围与口径，降低数据风险。</w:t>
      </w:r>
    </w:p>
    <w:p>
      <w:pPr>
        <w:pStyle w:val="ListBullet"/>
      </w:pPr>
      <w:r>
        <w:t>可持续：支持容器化部署与模块化扩展，功能可迭代、资产可沉淀。</w:t>
      </w:r>
    </w:p>
    <w:p>
      <w:pPr>
        <w:pStyle w:val="Heading2"/>
      </w:pPr>
      <w:r>
        <w:t>2.3 技术实现概要（非技术人员可读版）</w:t>
      </w:r>
    </w:p>
    <w:p>
      <w:r>
        <w:rPr>
          <w:b w:val="0"/>
        </w:rPr>
        <w:t>系统采用「前后端分离」的现代软件架构：后端提供统一 API 与任务调度，前端提供管理台与数据大屏；支持在标准服务器或容器环境中一键部署。各智能模块以独立服务边界设计，便于后续替换算法供应商、扩容算力或增加场景。</w:t>
      </w:r>
    </w:p>
    <w:p>
      <w:r>
        <w:br w:type="page"/>
      </w:r>
    </w:p>
    <w:p>
      <w:pPr>
        <w:pStyle w:val="Heading1"/>
      </w:pPr>
      <w:r>
        <w:t>三、建设内容与功能体系</w:t>
      </w:r>
    </w:p>
    <w:p>
      <w:pPr>
        <w:pStyle w:val="Heading2"/>
      </w:pPr>
      <w:r>
        <w:t>3.1 功能架构总览</w:t>
      </w:r>
    </w:p>
    <w:p>
      <w:r>
        <w:rPr>
          <w:b w:val="0"/>
        </w:rPr>
        <w:t>平台功能划分为五大板块，对应企业从「看得见」到「用得准」再到「管得住」的完整链条。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板块</w:t>
            </w:r>
          </w:p>
        </w:tc>
        <w:tc>
          <w:tcPr>
            <w:tcW w:type="dxa" w:w="2946"/>
          </w:tcPr>
          <w:p>
            <w:r>
              <w:rPr>
                <w:b/>
              </w:rPr>
              <w:t>主要内容</w:t>
            </w:r>
          </w:p>
        </w:tc>
        <w:tc>
          <w:tcPr>
            <w:tcW w:type="dxa" w:w="2946"/>
          </w:tcPr>
          <w:p>
            <w:r>
              <w:rPr>
                <w:b/>
              </w:rPr>
              <w:t>业务价值（简述）</w:t>
            </w:r>
          </w:p>
        </w:tc>
      </w:tr>
      <w:tr>
        <w:tc>
          <w:tcPr>
            <w:tcW w:type="dxa" w:w="2946"/>
          </w:tcPr>
          <w:p>
            <w:r>
              <w:t>AI 工作台</w:t>
            </w:r>
          </w:p>
        </w:tc>
        <w:tc>
          <w:tcPr>
            <w:tcW w:type="dxa" w:w="2946"/>
          </w:tcPr>
          <w:p>
            <w:r>
              <w:t>工作台总览；数据驾驶舱（运营指挥与智能展示场景）。</w:t>
            </w:r>
          </w:p>
        </w:tc>
        <w:tc>
          <w:tcPr>
            <w:tcW w:type="dxa" w:w="2946"/>
          </w:tcPr>
          <w:p>
            <w:r>
              <w:t>态势一屏统览，支撑管理层敏捷感知与协同指挥。</w:t>
            </w:r>
          </w:p>
        </w:tc>
      </w:tr>
      <w:tr>
        <w:tc>
          <w:tcPr>
            <w:tcW w:type="dxa" w:w="2946"/>
          </w:tcPr>
          <w:p>
            <w:r>
              <w:t>数据与训练</w:t>
            </w:r>
          </w:p>
        </w:tc>
        <w:tc>
          <w:tcPr>
            <w:tcW w:type="dxa" w:w="2946"/>
          </w:tcPr>
          <w:p>
            <w:r>
              <w:t>数据集与类别管理；训练任务管理；模型库与版本沉淀。</w:t>
            </w:r>
          </w:p>
        </w:tc>
        <w:tc>
          <w:tcPr>
            <w:tcW w:type="dxa" w:w="2946"/>
          </w:tcPr>
          <w:p>
            <w:r>
              <w:t>将样本与模型制度化，形成可继承的智能资产。</w:t>
            </w:r>
          </w:p>
        </w:tc>
      </w:tr>
      <w:tr>
        <w:tc>
          <w:tcPr>
            <w:tcW w:type="dxa" w:w="2946"/>
          </w:tcPr>
          <w:p>
            <w:r>
              <w:t>智能应用</w:t>
            </w:r>
          </w:p>
        </w:tc>
        <w:tc>
          <w:tcPr>
            <w:tcW w:type="dxa" w:w="2946"/>
          </w:tcPr>
          <w:p>
            <w:r>
              <w:t>识别中心（图像分类）；票据识别（表格化与双单比对）；数据洞察；行情与报价辅助；智能物流（轨迹、车载视频等）。</w:t>
            </w:r>
          </w:p>
        </w:tc>
        <w:tc>
          <w:tcPr>
            <w:tcW w:type="dxa" w:w="2946"/>
          </w:tcPr>
          <w:p>
            <w:r>
              <w:t>覆盖高频痛点场景，降本增效、提质风控。</w:t>
            </w:r>
          </w:p>
        </w:tc>
      </w:tr>
      <w:tr>
        <w:tc>
          <w:tcPr>
            <w:tcW w:type="dxa" w:w="2946"/>
          </w:tcPr>
          <w:p>
            <w:r>
              <w:t>系统治理</w:t>
            </w:r>
          </w:p>
        </w:tc>
        <w:tc>
          <w:tcPr>
            <w:tcW w:type="dxa" w:w="2946"/>
          </w:tcPr>
          <w:p>
            <w:r>
              <w:t>系统管理、运行配置与基础治理工具。</w:t>
            </w:r>
          </w:p>
        </w:tc>
        <w:tc>
          <w:tcPr>
            <w:tcW w:type="dxa" w:w="2946"/>
          </w:tcPr>
          <w:p>
            <w:r>
              <w:t>保障平台可运营、可交接、可审计。</w:t>
            </w:r>
          </w:p>
        </w:tc>
      </w:tr>
      <w:tr>
        <w:tc>
          <w:tcPr>
            <w:tcW w:type="dxa" w:w="2946"/>
          </w:tcPr>
          <w:p>
            <w:r>
              <w:t>统一服务与集成</w:t>
            </w:r>
          </w:p>
        </w:tc>
        <w:tc>
          <w:tcPr>
            <w:tcW w:type="dxa" w:w="2946"/>
          </w:tcPr>
          <w:p>
            <w:r>
              <w:t>对外提供 REST 等标准接口；支持与地图、OCR、设备与业务库等外部能力对接。</w:t>
            </w:r>
          </w:p>
        </w:tc>
        <w:tc>
          <w:tcPr>
            <w:tcW w:type="dxa" w:w="2946"/>
          </w:tcPr>
          <w:p>
            <w:r>
              <w:t>打通「云—边—端」链路，支撑生态扩展。</w:t>
            </w:r>
          </w:p>
        </w:tc>
      </w:tr>
    </w:tbl>
    <w:p>
      <w:pPr>
        <w:pStyle w:val="Heading2"/>
      </w:pPr>
      <w:r>
        <w:t>3.2 核心场景说明</w:t>
      </w:r>
    </w:p>
    <w:p>
      <w:pPr>
        <w:pStyle w:val="ListBullet"/>
      </w:pPr>
      <w:r>
        <w:t>识别中心：面向仓储、质控等环节的货品图像智能分类，减轻重复目视劳动，提高一致性。</w:t>
      </w:r>
    </w:p>
    <w:p>
      <w:pPr>
        <w:pStyle w:val="ListBullet"/>
      </w:pPr>
      <w:r>
        <w:t>票据识别：面向送货单等单据的结构化识别，可选对接成熟 OCR 能力；支撑比对与后续业务协同。</w:t>
      </w:r>
    </w:p>
    <w:p>
      <w:pPr>
        <w:pStyle w:val="ListBullet"/>
      </w:pPr>
      <w:r>
        <w:t>数据洞察：在授权与口径固定前提下，对订单、销售、缺货与价格类等主题进行聚合分析，缩短经营反馈周期。</w:t>
      </w:r>
    </w:p>
    <w:p>
      <w:pPr>
        <w:pStyle w:val="ListBullet"/>
      </w:pPr>
      <w:r>
        <w:t>智能物流：车辆轨迹、在途态势与视频能力的整合展示，提升调度透明度与应急响应能力。</w:t>
      </w:r>
    </w:p>
    <w:p>
      <w:pPr>
        <w:pStyle w:val="ListBullet"/>
      </w:pPr>
      <w:r>
        <w:t>行情与报价：辅助采购与销售把握市场节拍，增强议价与库存策略的前瞻性。</w:t>
      </w:r>
    </w:p>
    <w:p>
      <w:r>
        <w:br w:type="page"/>
      </w:r>
    </w:p>
    <w:p>
      <w:pPr>
        <w:pStyle w:val="Heading1"/>
      </w:pPr>
      <w:r>
        <w:t>四、数智化转型价值与对公司的贡献</w:t>
      </w:r>
    </w:p>
    <w:p>
      <w:pPr>
        <w:pStyle w:val="Heading2"/>
      </w:pPr>
      <w:r>
        <w:t>4.1 战略层面</w:t>
      </w:r>
    </w:p>
    <w:p>
      <w:pPr>
        <w:pStyle w:val="ListBullet"/>
      </w:pPr>
      <w:r>
        <w:t>为公司提供面向 AI 时代的统一技术载体，将数智化从「零散试点」提升为「体系化建设」。</w:t>
      </w:r>
    </w:p>
    <w:p>
      <w:pPr>
        <w:pStyle w:val="ListBullet"/>
      </w:pPr>
      <w:r>
        <w:t>以可复制、可扩展的平台形态，为未来多场景、多品类、多区域拓展预留空间。</w:t>
      </w:r>
    </w:p>
    <w:p>
      <w:pPr>
        <w:pStyle w:val="Heading2"/>
      </w:pPr>
      <w:r>
        <w:t>4.2 经营与管理层面</w:t>
      </w:r>
    </w:p>
    <w:p>
      <w:pPr>
        <w:pStyle w:val="ListBullet"/>
      </w:pPr>
      <w:r>
        <w:t>提升决策时效：驾驶舱与主题洞察让管理层更快看到关键变化与结构性问题。</w:t>
      </w:r>
    </w:p>
    <w:p>
      <w:pPr>
        <w:pStyle w:val="ListBullet"/>
      </w:pPr>
      <w:r>
        <w:t>降低运营成本：识别与票据类能力直接压缩人工录入、复核与沟通成本。</w:t>
      </w:r>
    </w:p>
    <w:p>
      <w:pPr>
        <w:pStyle w:val="ListBullet"/>
      </w:pPr>
      <w:r>
        <w:t>强化质量与风控：结构化数据与比对能力为对账、纠纷处理提供依据与留痕。</w:t>
      </w:r>
    </w:p>
    <w:p>
      <w:pPr>
        <w:pStyle w:val="Heading2"/>
      </w:pPr>
      <w:r>
        <w:t>4.3 组织与能力层面</w:t>
      </w:r>
    </w:p>
    <w:p>
      <w:pPr>
        <w:pStyle w:val="ListBullet"/>
      </w:pPr>
      <w:r>
        <w:t>沉淀数据与模型资产，减少对少数关键个人的路径依赖。</w:t>
      </w:r>
    </w:p>
    <w:p>
      <w:pPr>
        <w:pStyle w:val="ListBullet"/>
      </w:pPr>
      <w:r>
        <w:t>形成可培训、可交接的平台化能力，利于团队梯队建设与知识传承。</w:t>
      </w:r>
    </w:p>
    <w:p>
      <w:r>
        <w:br w:type="page"/>
      </w:r>
    </w:p>
    <w:p>
      <w:pPr>
        <w:pStyle w:val="Heading1"/>
      </w:pPr>
      <w:r>
        <w:t>五、部署形态与工程保障</w:t>
      </w:r>
    </w:p>
    <w:p>
      <w:pPr>
        <w:pStyle w:val="Heading2"/>
      </w:pPr>
      <w:r>
        <w:t>5.1 部署与交付</w:t>
      </w:r>
    </w:p>
    <w:p>
      <w:r>
        <w:rPr>
          <w:b w:val="0"/>
        </w:rPr>
        <w:t>平台支持容器化交付与持续集成习惯相适应的发布方式，有利于在测试、预生产与生产环境中一致运行，缩短上线周期并降低环境差异导致的问题。</w:t>
      </w:r>
    </w:p>
    <w:p>
      <w:pPr>
        <w:pStyle w:val="Heading2"/>
      </w:pPr>
      <w:r>
        <w:t>5.2 安全与合规意识</w:t>
      </w:r>
    </w:p>
    <w:p>
      <w:r>
        <w:rPr>
          <w:b w:val="0"/>
        </w:rPr>
        <w:t>在对接业务库、外部地图、影像与第三方智能服务等环节，须遵循最小权限、密钥分级与访问审计等基本要求；具体接入范围与合规策略以公司信息安全制度为准。</w:t>
      </w:r>
    </w:p>
    <w:p>
      <w:r>
        <w:br w:type="page"/>
      </w:r>
    </w:p>
    <w:p>
      <w:pPr>
        <w:pStyle w:val="Heading1"/>
      </w:pPr>
      <w:r>
        <w:t>六、阶段成效与后续工作建议</w:t>
      </w:r>
    </w:p>
    <w:p>
      <w:pPr>
        <w:pStyle w:val="Heading2"/>
      </w:pPr>
      <w:r>
        <w:t>6.1 阶段成效（概括）</w:t>
      </w:r>
    </w:p>
    <w:p>
      <w:r>
        <w:rPr>
          <w:b w:val="0"/>
        </w:rPr>
        <w:t>本平台已形成覆盖工作台、训练与模型管理、多项智能应用及系统治理的完整产品形态，技术链路贯通，具备对外演示、对内试产与逐步推广的基础。（若需量化成效，建议后续补充：调用量、识别准确率区间、上线场景数、节省工时评估等指标。）</w:t>
      </w:r>
    </w:p>
    <w:p>
      <w:pPr>
        <w:pStyle w:val="Heading2"/>
      </w:pPr>
      <w:r>
        <w:t>6.2 后续工作建议</w:t>
      </w:r>
    </w:p>
    <w:p>
      <w:pPr>
        <w:pStyle w:val="ListBullet"/>
      </w:pPr>
      <w:r>
        <w:t>明确 1～3 个优先落地场景，制定季度可验收的业务目标与配套口径。</w:t>
      </w:r>
    </w:p>
    <w:p>
      <w:pPr>
        <w:pStyle w:val="ListBullet"/>
      </w:pPr>
      <w:r>
        <w:t>完善运维监控、备份与发布规范，确保从「能用」走向「敢用、稳用」。</w:t>
      </w:r>
    </w:p>
    <w:p>
      <w:pPr>
        <w:pStyle w:val="ListBullet"/>
      </w:pPr>
      <w:r>
        <w:t>建立模型与数据的版本与回滚机制，保障算法迭代可控。</w:t>
      </w:r>
    </w:p>
    <w:p>
      <w:pPr>
        <w:pStyle w:val="ListBullet"/>
      </w:pPr>
      <w:r>
        <w:t>按业务节奏扩大只读洞察主题与安全接入范围，形成管理闭环。</w:t>
      </w:r>
    </w:p>
    <w:p>
      <w:r>
        <w:br w:type="page"/>
      </w:r>
    </w:p>
    <w:p>
      <w:pPr>
        <w:pStyle w:val="Heading1"/>
      </w:pPr>
      <w:r>
        <w:t>结  语</w:t>
      </w:r>
    </w:p>
    <w:p>
      <w:r>
        <w:rPr>
          <w:b w:val="0"/>
        </w:rPr>
        <w:t>食迅易联 AI 训练与数据智能平台，是公司迈向认知型供应链的关键基础设施。通过统一门户沉淀智能与数据能力，公司得以在不确定性加剧的市场环境中，更快感知、更准决策、更稳执行。建议管理层将本平台纳入企业数智化总体路线图，以场景为牵引、以价值为准绳，稳步推进规模化应用。</w:t>
      </w:r>
    </w:p>
    <w:p/>
    <w:p>
      <w:pPr>
        <w:jc w:val="center"/>
      </w:pPr>
      <w:r>
        <w:t>— 报告完 —</w:t>
      </w:r>
    </w:p>
    <w:p>
      <w:r>
        <w:rPr>
          <w:color w:val="555555"/>
          <w:sz w:val="18"/>
        </w:rPr>
        <w:t>说明：本报告依据当前平台功能架构整理，具体模块以实际部署与业务授权为准。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