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3E86C">
      <w:pPr>
        <w:jc w:val="center"/>
      </w:pPr>
      <w:r>
        <w:rPr>
          <w:b/>
          <w:sz w:val="44"/>
        </w:rPr>
        <w:t>AI Agent 供应链数字化平台</w:t>
      </w:r>
    </w:p>
    <w:p w14:paraId="7E019AD1">
      <w:pPr>
        <w:jc w:val="center"/>
      </w:pPr>
      <w:r>
        <w:t>对外汇报材料（简版）</w:t>
      </w:r>
    </w:p>
    <w:p w14:paraId="4A3A52FA">
      <w:pPr>
        <w:jc w:val="center"/>
      </w:pPr>
      <w:r>
        <w:t>文档版本：V1.0</w:t>
      </w:r>
    </w:p>
    <w:p w14:paraId="21D4AA0A">
      <w:pPr>
        <w:jc w:val="center"/>
      </w:pPr>
      <w:r>
        <w:t>说明：本平台为自主研发的一体化「AI + 数据智能」能力，业务经营库采用只读方式对接，不替代核心 ERP 下单与主数据维护。</w:t>
      </w:r>
    </w:p>
    <w:p w14:paraId="5BF8F28D">
      <w:r>
        <w:br w:type="page"/>
      </w:r>
    </w:p>
    <w:p w14:paraId="397016EB">
      <w:pPr>
        <w:pStyle w:val="3"/>
      </w:pPr>
      <w:r>
        <w:t>一、项目定位</w:t>
      </w:r>
    </w:p>
    <w:p w14:paraId="1AF60964">
      <w:r>
        <w:t>面向集团供应链与数字化创新场景，提供统一门户：数据驾驶舱、天枢大屏、数据洞察、AI 训练与识别、票据智能处理、智能物流等能力，实现「看得见、算得清、可演示、可审计」的运营视图。</w:t>
      </w:r>
    </w:p>
    <w:p w14:paraId="6F867BB1">
      <w:pPr>
        <w:pStyle w:val="3"/>
      </w:pPr>
      <w:r>
        <w:t>二、建设目标</w:t>
      </w:r>
    </w:p>
    <w:p w14:paraId="10AC944B">
      <w:pPr>
        <w:pStyle w:val="16"/>
      </w:pPr>
      <w:r>
        <w:t>数字化创新：大屏与驾驶舱集中呈现经营与履约态势；</w:t>
      </w:r>
    </w:p>
    <w:p w14:paraId="1A646C4C">
      <w:pPr>
        <w:pStyle w:val="16"/>
      </w:pPr>
      <w:r>
        <w:t>AI 赋能供应链：图像识别、模型训练部署、单据识别与比对服务稽核与效率；</w:t>
      </w:r>
    </w:p>
    <w:p w14:paraId="0C48543D">
      <w:pPr>
        <w:pStyle w:val="16"/>
      </w:pPr>
      <w:r>
        <w:t>自主研发平台：技术栈与交付形态自主可控，支持私有化与集团合规要求。</w:t>
      </w:r>
    </w:p>
    <w:p w14:paraId="5ABF009F">
      <w:pPr>
        <w:pStyle w:val="3"/>
      </w:pPr>
      <w:r>
        <w:t>三、系统边界（只读解耦）</w:t>
      </w:r>
    </w:p>
    <w:p w14:paraId="5F36C9EB">
      <w:r>
        <w:t>业务主数据与订单写入仍在既有业务系统中完成；本平台通过只读账号访问业务 MySQL，分析接口仅允许 SELECT；平台自有 SQLite 承载数据集、训练任务、模型与物流绑定等平台侧数据。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BCDC1A0">
        <w:tc>
          <w:tcPr>
            <w:tcW w:w="4320" w:type="dxa"/>
          </w:tcPr>
          <w:p w14:paraId="6BAB7BE1">
            <w:pPr>
              <w:spacing w:after="0" w:line="240" w:lineRule="auto"/>
            </w:pPr>
            <w:r>
              <w:t>业务 MySQL（洞察）</w:t>
            </w:r>
          </w:p>
        </w:tc>
        <w:tc>
          <w:tcPr>
            <w:tcW w:w="4320" w:type="dxa"/>
          </w:tcPr>
          <w:p w14:paraId="416B84CB">
            <w:pPr>
              <w:spacing w:after="0" w:line="240" w:lineRule="auto"/>
            </w:pPr>
            <w:r>
              <w:t>只读查询与聚合，支撑驾驶舱、洞察 API、实时经营通道</w:t>
            </w:r>
          </w:p>
        </w:tc>
      </w:tr>
      <w:tr w14:paraId="6504C9F6">
        <w:tc>
          <w:tcPr>
            <w:tcW w:w="4320" w:type="dxa"/>
          </w:tcPr>
          <w:p w14:paraId="716B5CA0">
            <w:pPr>
              <w:spacing w:after="0" w:line="240" w:lineRule="auto"/>
            </w:pPr>
            <w:r>
              <w:t>平台 SQLite</w:t>
            </w:r>
          </w:p>
        </w:tc>
        <w:tc>
          <w:tcPr>
            <w:tcW w:w="4320" w:type="dxa"/>
          </w:tcPr>
          <w:p w14:paraId="623B8357">
            <w:pPr>
              <w:spacing w:after="0" w:line="240" w:lineRule="auto"/>
            </w:pPr>
            <w:r>
              <w:t>数据集、训练、模型元数据、物流相关等平台数据</w:t>
            </w:r>
          </w:p>
        </w:tc>
      </w:tr>
      <w:tr w14:paraId="0B3642E4">
        <w:tc>
          <w:tcPr>
            <w:tcW w:w="4320" w:type="dxa"/>
          </w:tcPr>
          <w:p w14:paraId="7DF3196D">
            <w:pPr>
              <w:spacing w:after="0" w:line="240" w:lineRule="auto"/>
            </w:pPr>
            <w:r>
              <w:t>物流数据源</w:t>
            </w:r>
          </w:p>
        </w:tc>
        <w:tc>
          <w:tcPr>
            <w:tcW w:w="4320" w:type="dxa"/>
          </w:tcPr>
          <w:p w14:paraId="7E6BBD51">
            <w:pPr>
              <w:spacing w:after="0" w:line="240" w:lineRule="auto"/>
            </w:pPr>
            <w:r>
              <w:t>按租户切库，与既有后台逻辑对齐</w:t>
            </w:r>
          </w:p>
        </w:tc>
      </w:tr>
      <w:tr w14:paraId="51AD83A0">
        <w:tc>
          <w:tcPr>
            <w:tcW w:w="4320" w:type="dxa"/>
          </w:tcPr>
          <w:p w14:paraId="28F7958F">
            <w:pPr>
              <w:spacing w:after="0" w:line="240" w:lineRule="auto"/>
            </w:pPr>
            <w:r>
              <w:t>核心业务写入</w:t>
            </w:r>
          </w:p>
        </w:tc>
        <w:tc>
          <w:tcPr>
            <w:tcW w:w="4320" w:type="dxa"/>
          </w:tcPr>
          <w:p w14:paraId="2CE93593">
            <w:pPr>
              <w:spacing w:after="0" w:line="240" w:lineRule="auto"/>
            </w:pPr>
            <w:r>
              <w:t>不在本平台内完成下单、新增商品、报价、收货等写操作</w:t>
            </w:r>
          </w:p>
        </w:tc>
      </w:tr>
    </w:tbl>
    <w:p w14:paraId="0863028B">
      <w:pPr>
        <w:pStyle w:val="3"/>
      </w:pPr>
      <w:r>
        <w:t>四、总体架构示意</w:t>
      </w:r>
    </w:p>
    <w:p w14:paraId="74544313">
      <w:r>
        <w:drawing>
          <wp:inline distT="0" distB="0" distL="114300" distR="114300">
            <wp:extent cx="5669280" cy="3164205"/>
            <wp:effectExtent l="0" t="0" r="2032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3BF4">
      <w:r>
        <w:t>上图：分层架构意象示意（展示层 / 应用层 / 数据层）。</w:t>
      </w:r>
    </w:p>
    <w:p w14:paraId="1C441267">
      <w:pPr>
        <w:pStyle w:val="3"/>
      </w:pPr>
      <w:r>
        <w:t>五、业务只读与平台关系</w:t>
      </w:r>
    </w:p>
    <w:p w14:paraId="6AC19CA5">
      <w:r>
        <w:drawing>
          <wp:inline distT="0" distB="0" distL="114300" distR="114300">
            <wp:extent cx="5669280" cy="3164205"/>
            <wp:effectExtent l="0" t="0" r="2032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2B8C">
      <w:pPr>
        <w:pStyle w:val="3"/>
      </w:pPr>
      <w:r>
        <w:t>六、核心能力摘要</w:t>
      </w:r>
    </w:p>
    <w:p w14:paraId="117CB890">
      <w:pPr>
        <w:pStyle w:val="16"/>
      </w:pPr>
      <w:r>
        <w:t>数据洞察：KPI、分布、地图、热力、运营告警等；支持多表名/主键自适应，降低对接成本。</w:t>
      </w:r>
    </w:p>
    <w:p w14:paraId="1E4C5355">
      <w:pPr>
        <w:pStyle w:val="16"/>
      </w:pPr>
      <w:r>
        <w:t>实时经营通道：在零 DDL 前提下基于增量轮询 + WebSocket 推送今日 GMV/单量等，供驾驶舱与天枢「实时链路」展示。</w:t>
      </w:r>
    </w:p>
    <w:p w14:paraId="70C54016">
      <w:pPr>
        <w:pStyle w:val="16"/>
      </w:pPr>
      <w:r>
        <w:t>AI 训练与推理：数据集管理、训练任务、模型库与部署、在线识别 Top-K。</w:t>
      </w:r>
    </w:p>
    <w:p w14:paraId="1B861983">
      <w:pPr>
        <w:pStyle w:val="16"/>
      </w:pPr>
      <w:r>
        <w:t>票据智能：图像识别与结构化输出，支持与订单信息比对，服务稽核场景。</w:t>
      </w:r>
    </w:p>
    <w:p w14:paraId="3C7446FC">
      <w:pPr>
        <w:pStyle w:val="16"/>
      </w:pPr>
      <w:r>
        <w:t>智能物流：车辆、多源设备绑定、轨迹与地图、费用管理；坐标系与地图服务可配置。</w:t>
      </w:r>
    </w:p>
    <w:p w14:paraId="5F000C68">
      <w:pPr>
        <w:pStyle w:val="3"/>
      </w:pPr>
      <w:r>
        <w:t>七、AI 训练—部署—推理闭环</w:t>
      </w:r>
    </w:p>
    <w:p w14:paraId="36DAC704">
      <w:r>
        <w:drawing>
          <wp:inline distT="0" distB="0" distL="114300" distR="114300">
            <wp:extent cx="5669280" cy="3164205"/>
            <wp:effectExtent l="0" t="0" r="2032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D4CA">
      <w:pPr>
        <w:pStyle w:val="3"/>
      </w:pPr>
      <w:r>
        <w:t>八、典型应用场景</w:t>
      </w:r>
    </w:p>
    <w:p w14:paraId="55D749D6">
      <w:pPr>
        <w:pStyle w:val="16"/>
      </w:pPr>
      <w:r>
        <w:t>管理端：日常运营、模型与数据管理、洞察分析、物流管理；</w:t>
      </w:r>
    </w:p>
    <w:p w14:paraId="064BACE2">
      <w:pPr>
        <w:pStyle w:val="16"/>
      </w:pPr>
      <w:r>
        <w:t>指挥参观：驾驶舱 / 天枢大屏集中演示数字化与实时经营态势；</w:t>
      </w:r>
    </w:p>
    <w:p w14:paraId="6CF01EB5">
      <w:pPr>
        <w:pStyle w:val="16"/>
      </w:pPr>
      <w:r>
        <w:rPr>
          <w:rFonts w:hint="eastAsia" w:eastAsia="宋体"/>
          <w:lang w:val="en-US" w:eastAsia="zh-CN"/>
        </w:rPr>
        <w:t>技术支撑</w:t>
      </w:r>
      <w:bookmarkStart w:id="0" w:name="_GoBack"/>
      <w:bookmarkEnd w:id="0"/>
      <w:r>
        <w:t>：只读 SQL 分析、开放 API 与集成。</w:t>
      </w:r>
    </w:p>
    <w:p w14:paraId="0AB50515">
      <w:pPr>
        <w:pStyle w:val="3"/>
      </w:pPr>
      <w:r>
        <w:t>九、对外表述关键词</w:t>
      </w:r>
    </w:p>
    <w:p w14:paraId="5504ED27">
      <w:pPr>
        <w:pStyle w:val="16"/>
      </w:pPr>
      <w:r>
        <w:t>自主研发的一体化 AI + 数据智能平台；</w:t>
      </w:r>
    </w:p>
    <w:p w14:paraId="25BA1BCD">
      <w:pPr>
        <w:pStyle w:val="16"/>
      </w:pPr>
      <w:r>
        <w:t>业务库只读解耦，降低对生产交易系统风险；</w:t>
      </w:r>
    </w:p>
    <w:p w14:paraId="43B153E1">
      <w:pPr>
        <w:pStyle w:val="16"/>
      </w:pPr>
      <w:r>
        <w:t>AI 赋能供应链（训练/推理/单据）；</w:t>
      </w:r>
    </w:p>
    <w:p w14:paraId="78C04600">
      <w:pPr>
        <w:pStyle w:val="16"/>
      </w:pPr>
      <w:r>
        <w:t>实时增量洞察，零 DDL 适配运维约束。</w:t>
      </w:r>
    </w:p>
    <w:p w14:paraId="007D8A7E">
      <w:pPr>
        <w:pStyle w:val="3"/>
      </w:pPr>
      <w:r>
        <w:t>十、说明</w:t>
      </w:r>
    </w:p>
    <w:p w14:paraId="5390C6E6">
      <w:r>
        <w:t>本材料不含环境账号口令；正式对外版本可由信息中心替换为集团标准模板页眉页脚。更细的技术说明见同目录上级 Markdown 与研发归档。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998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狗粮吃胖了</cp:lastModifiedBy>
  <dcterms:modified xsi:type="dcterms:W3CDTF">2026-04-18T14:16:52Z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19AA279F4C629F88D421E3693840A96F_42</vt:lpwstr>
  </property>
</Properties>
</file>