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rFonts w:ascii="Arial" w:hAnsi="Arial" w:eastAsia="PingFang SC"/>
        </w:rPr>
        <w:t>大宗物资供应链全链路管理系统技术文档</w:t>
      </w:r>
    </w:p>
    <w:p>
      <w:pPr>
        <w:pStyle w:val="Subtitle"/>
        <w:jc w:val="center"/>
      </w:pPr>
      <w:r>
        <w:t>系统架构、业务流程、状态模型、数据领域、接口、集成与运维</w:t>
      </w:r>
    </w:p>
    <w:p/>
    <w:p/>
    <w:p/>
    <w:p>
      <w:pPr>
        <w:jc w:val="center"/>
      </w:pPr>
      <w:r>
        <w:rPr>
          <w:rFonts w:ascii="Arial" w:hAnsi="Arial" w:eastAsia="PingFang SC"/>
        </w:rPr>
        <w:t>版本 3.0  |  代码核验 2026-06-12  |  Markdown 单一事实源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系统定位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角色与终端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总体架构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核心业务流程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状态模型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数据领域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API 与页面入口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外部集成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部署与运行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运维与可观测性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已知限制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PingFang SC"/>
        </w:rPr>
        <w:t>文档治理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</w:rPr>
        <w:t>1. 系统定位</w:t>
      </w:r>
    </w:p>
    <w:p>
      <w:r>
        <w:rPr>
          <w:rFonts w:ascii="Arial" w:hAnsi="Arial" w:eastAsia="PingFang SC"/>
        </w:rPr>
        <w:t>系统服务于食堂大宗物资采购与履约，围绕采购方、供货方、配送商、指定厂家、运营方和监管方六类角色，连接智能秤、分检 PDA 和司机端三个 Android 终端。</w:t>
      </w:r>
    </w:p>
    <w:p>
      <w:r>
        <w:rPr>
          <w:rFonts w:ascii="Arial" w:hAnsi="Arial" w:eastAsia="PingFang SC"/>
        </w:rPr>
        <w:t>系统覆盖：</w:t>
      </w:r>
    </w:p>
    <w:p>
      <w:pPr>
        <w:pStyle w:val="ListBullet"/>
      </w:pPr>
      <w:r>
        <w:rPr>
          <w:rFonts w:ascii="Arial" w:hAnsi="Arial" w:eastAsia="PingFang SC"/>
        </w:rPr>
        <w:t>招投标、合约和分类浮动价格。</w:t>
      </w:r>
    </w:p>
    <w:p>
      <w:pPr>
        <w:pStyle w:val="ListBullet"/>
      </w:pPr>
      <w:r>
        <w:rPr>
          <w:rFonts w:ascii="Arial" w:hAnsi="Arial" w:eastAsia="PingFang SC"/>
        </w:rPr>
        <w:t>食堂维度下单、OCR/语音辅助录入和订单追踪。</w:t>
      </w:r>
    </w:p>
    <w:p>
      <w:pPr>
        <w:pStyle w:val="ListBullet"/>
      </w:pPr>
      <w:r>
        <w:rPr>
          <w:rFonts w:ascii="Arial" w:hAnsi="Arial" w:eastAsia="PingFang SC"/>
        </w:rPr>
        <w:t>配送商多供货方分单、供货出库和标签。</w:t>
      </w:r>
    </w:p>
    <w:p>
      <w:pPr>
        <w:pStyle w:val="ListBullet"/>
      </w:pPr>
      <w:r>
        <w:rPr>
          <w:rFonts w:ascii="Arial" w:hAnsi="Arial" w:eastAsia="PingFang SC"/>
        </w:rPr>
        <w:t>PDA 分检、路线规划、调度车次、装车和司机送达。</w:t>
      </w:r>
    </w:p>
    <w:p>
      <w:pPr>
        <w:pStyle w:val="ListBullet"/>
      </w:pPr>
      <w:r>
        <w:rPr>
          <w:rFonts w:ascii="Arial" w:hAnsi="Arial" w:eastAsia="PingFang SC"/>
        </w:rPr>
        <w:t>智能秤逐行称重、拍照、退货留痕和双签收货。</w:t>
      </w:r>
    </w:p>
    <w:p>
      <w:pPr>
        <w:pStyle w:val="ListBullet"/>
      </w:pPr>
      <w:r>
        <w:rPr>
          <w:rFonts w:ascii="Arial" w:hAnsi="Arial" w:eastAsia="PingFang SC"/>
        </w:rPr>
        <w:t>批次或周期质检、投诉工单、账期和多方对账。</w:t>
      </w:r>
    </w:p>
    <w:p>
      <w:pPr>
        <w:pStyle w:val="ListBullet"/>
      </w:pPr>
      <w:r>
        <w:rPr>
          <w:rFonts w:ascii="Arial" w:hAnsi="Arial" w:eastAsia="PingFang SC"/>
        </w:rPr>
        <w:t>监管态势、审计链、广播、价格数据、预测和 AI 问答。</w:t>
      </w:r>
    </w:p>
    <w:p>
      <w:pPr>
        <w:pStyle w:val="Heading1"/>
      </w:pPr>
      <w:r>
        <w:rPr>
          <w:rFonts w:ascii="Arial" w:hAnsi="Arial" w:eastAsia="PingFang SC"/>
        </w:rPr>
        <w:t>2. 角色与终端</w:t>
      </w:r>
    </w:p>
    <w:p>
      <w:pPr>
        <w:pStyle w:val="Heading2"/>
      </w:pPr>
      <w:r>
        <w:rPr>
          <w:rFonts w:ascii="Arial" w:hAnsi="Arial" w:eastAsia="PingFang SC"/>
        </w:rPr>
        <w:t>2.1 六类业务角色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角色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身份边界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主要入口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 xml:space="preserve">采购方 </w:t>
            </w:r>
            <w:r>
              <w:rPr>
                <w:rFonts w:ascii="Arial" w:hAnsi="Arial" w:eastAsia="PingFang SC"/>
                <w:color w:val="1F4D78"/>
                <w:sz w:val="19"/>
              </w:rPr>
              <w:t>client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 xml:space="preserve">登录后还必须选择一个启用食堂，JWT 带 </w:t>
            </w:r>
            <w:r>
              <w:rPr>
                <w:rFonts w:ascii="Arial" w:hAnsi="Arial" w:eastAsia="PingFang SC"/>
                <w:color w:val="1F4D78"/>
                <w:sz w:val="19"/>
              </w:rPr>
              <w:t>canteen_id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/client/dashboard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 xml:space="preserve">供货方 </w:t>
            </w:r>
            <w:r>
              <w:rPr>
                <w:rFonts w:ascii="Arial" w:hAnsi="Arial" w:eastAsia="PingFang SC"/>
                <w:color w:val="1F4D78"/>
                <w:sz w:val="19"/>
              </w:rPr>
              <w:t>supplier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只能查看分配给自己的订单行和对应金额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/supplier/orders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 xml:space="preserve">配送商 </w:t>
            </w:r>
            <w:r>
              <w:rPr>
                <w:rFonts w:ascii="Arial" w:hAnsi="Arial" w:eastAsia="PingFang SC"/>
                <w:color w:val="1F4D78"/>
                <w:sz w:val="19"/>
              </w:rPr>
              <w:t>delivery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合约履约、分单、仓储、车辆、调度和配送责任主体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/delivery/workbench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 xml:space="preserve">指定厂家 </w:t>
            </w:r>
            <w:r>
              <w:rPr>
                <w:rFonts w:ascii="Arial" w:hAnsi="Arial" w:eastAsia="PingFang SC"/>
                <w:color w:val="1F4D78"/>
                <w:sz w:val="19"/>
              </w:rPr>
              <w:t>factory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只处理标记为指定厂家且分配给本厂家的商品行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/factory/orders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 xml:space="preserve">运营方 </w:t>
            </w:r>
            <w:r>
              <w:rPr>
                <w:rFonts w:ascii="Arial" w:hAnsi="Arial" w:eastAsia="PingFang SC"/>
                <w:color w:val="1F4D78"/>
                <w:sz w:val="19"/>
              </w:rPr>
              <w:t>operation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基础资料、合约订单、工单账期和识别训练管理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/operation/dashboard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 xml:space="preserve">监管方 </w:t>
            </w:r>
            <w:r>
              <w:rPr>
                <w:rFonts w:ascii="Arial" w:hAnsi="Arial" w:eastAsia="PingFang SC"/>
                <w:color w:val="1F4D78"/>
                <w:sz w:val="19"/>
              </w:rPr>
              <w:t>monitor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跨主体只读监管、预警、广播、分析和 AI 助手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/monitor/dashboard</w:t>
            </w:r>
          </w:p>
        </w:tc>
      </w:tr>
    </w:tbl>
    <w:p>
      <w:pPr>
        <w:spacing w:after="0"/>
      </w:pPr>
    </w:p>
    <w:p>
      <w:r>
        <w:rPr>
          <w:rFonts w:ascii="Arial" w:hAnsi="Arial" w:eastAsia="PingFang SC"/>
          <w:color w:val="1F4D78"/>
          <w:sz w:val="19"/>
        </w:rPr>
        <w:t>factory</w:t>
      </w:r>
      <w:r>
        <w:rPr>
          <w:rFonts w:ascii="Arial" w:hAnsi="Arial" w:eastAsia="PingFang SC"/>
        </w:rPr>
        <w:t xml:space="preserve"> 不是独立的加工生产系统。当前代码没有进厂登记、加工任务、成品入库等工厂工单模型。</w:t>
      </w:r>
    </w:p>
    <w:p>
      <w:pPr>
        <w:pStyle w:val="Heading2"/>
      </w:pPr>
      <w:r>
        <w:rPr>
          <w:rFonts w:ascii="Arial" w:hAnsi="Arial" w:eastAsia="PingFang SC"/>
        </w:rPr>
        <w:t>2.2 三个 Android 终端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终端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登录身份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主要能力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智能秤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采购方账号并选择食堂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串口读秤、UVC 拍照、逐行确认、退货照片、双签收货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分检 PDA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配送商账号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当日分单列表、标签扫码、重复/异常判断、分检进度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司机端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车辆车牌和司机密码，签发独立 driver token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当日车次、站点商品、路线地图、外部导航、确认送达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PingFang SC"/>
        </w:rPr>
        <w:t>2.3 辅助模块</w:t>
      </w:r>
    </w:p>
    <w:p>
      <w:pPr>
        <w:pStyle w:val="ListBullet"/>
      </w:pPr>
      <w:r>
        <w:rPr>
          <w:rFonts w:ascii="Arial" w:hAnsi="Arial" w:eastAsia="PingFang SC"/>
          <w:color w:val="1F4D78"/>
          <w:sz w:val="19"/>
        </w:rPr>
        <w:t>demo-console/</w:t>
      </w:r>
      <w:r>
        <w:rPr>
          <w:rFonts w:ascii="Arial" w:hAnsi="Arial" w:eastAsia="PingFang SC"/>
        </w:rPr>
        <w:t>：开发和演示造数、清理、推进链路。</w:t>
      </w:r>
    </w:p>
    <w:p>
      <w:pPr>
        <w:pStyle w:val="ListBullet"/>
      </w:pPr>
      <w:r>
        <w:rPr>
          <w:rFonts w:ascii="Arial" w:hAnsi="Arial" w:eastAsia="PingFang SC"/>
        </w:rPr>
        <w:t>天枢大屏：监管沉浸式三维展示。</w:t>
      </w:r>
    </w:p>
    <w:p>
      <w:pPr>
        <w:pStyle w:val="ListBullet"/>
      </w:pPr>
      <w:r>
        <w:rPr>
          <w:rFonts w:ascii="Arial" w:hAnsi="Arial" w:eastAsia="PingFang SC"/>
        </w:rPr>
        <w:t>BI 与价格驾驶舱：监管数据分析视图。</w:t>
      </w:r>
    </w:p>
    <w:p>
      <w:pPr>
        <w:pStyle w:val="ListBullet"/>
      </w:pPr>
      <w:r>
        <w:rPr>
          <w:rFonts w:ascii="Arial" w:hAnsi="Arial" w:eastAsia="PingFang SC"/>
        </w:rPr>
        <w:t>运营图像识别：智能秤图片样本、ROI、训练、发布和模型部署。</w:t>
      </w:r>
    </w:p>
    <w:p>
      <w:r>
        <w:rPr>
          <w:rFonts w:ascii="Arial" w:hAnsi="Arial" w:eastAsia="PingFang SC"/>
        </w:rPr>
        <w:t>这些模块不增加数据库角色数量。</w:t>
      </w:r>
    </w:p>
    <w:p>
      <w:pPr>
        <w:pStyle w:val="Heading1"/>
      </w:pPr>
      <w:r>
        <w:rPr>
          <w:rFonts w:ascii="Arial" w:hAnsi="Arial" w:eastAsia="PingFang SC"/>
        </w:rPr>
        <w:t>3. 总体架构</w:t>
      </w:r>
    </w:p>
    <w:p>
      <w:pPr>
        <w:keepLines/>
        <w:spacing w:before="80" w:after="160"/>
        <w:ind w:left="360" w:right="216"/>
      </w:pPr>
      <w:r>
        <w:rPr>
          <w:rFonts w:ascii="Arial" w:hAnsi="Arial" w:eastAsia="PingFang SC"/>
          <w:color w:val="1F4D78"/>
          <w:sz w:val="18"/>
        </w:rPr>
        <w:t>PC Web / Demo Console / Android Apps</w:t>
        <w:br/>
      </w:r>
      <w:r>
        <w:rPr>
          <w:rFonts w:ascii="Arial" w:hAnsi="Arial" w:eastAsia="PingFang SC"/>
          <w:color w:val="1F4D78"/>
          <w:sz w:val="18"/>
        </w:rPr>
        <w:t xml:space="preserve">                  |</w:t>
        <w:br/>
      </w:r>
      <w:r>
        <w:rPr>
          <w:rFonts w:ascii="Arial" w:hAnsi="Arial" w:eastAsia="PingFang SC"/>
          <w:color w:val="1F4D78"/>
          <w:sz w:val="18"/>
        </w:rPr>
        <w:t xml:space="preserve">          HTTP API + WebSocket</w:t>
        <w:br/>
      </w:r>
      <w:r>
        <w:rPr>
          <w:rFonts w:ascii="Arial" w:hAnsi="Arial" w:eastAsia="PingFang SC"/>
          <w:color w:val="1F4D78"/>
          <w:sz w:val="18"/>
        </w:rPr>
        <w:t xml:space="preserve">                  |</w:t>
        <w:br/>
      </w:r>
      <w:r>
        <w:rPr>
          <w:rFonts w:ascii="Arial" w:hAnsi="Arial" w:eastAsia="PingFang SC"/>
          <w:color w:val="1F4D78"/>
          <w:sz w:val="18"/>
        </w:rPr>
        <w:t xml:space="preserve">             FastAPI Backend</w:t>
        <w:br/>
      </w:r>
      <w:r>
        <w:rPr>
          <w:rFonts w:ascii="Arial" w:hAnsi="Arial" w:eastAsia="PingFang SC"/>
          <w:color w:val="1F4D78"/>
          <w:sz w:val="18"/>
        </w:rPr>
        <w:t xml:space="preserve">       |          |           |</w:t>
        <w:br/>
      </w:r>
      <w:r>
        <w:rPr>
          <w:rFonts w:ascii="Arial" w:hAnsi="Arial" w:eastAsia="PingFang SC"/>
          <w:color w:val="1F4D78"/>
          <w:sz w:val="18"/>
        </w:rPr>
        <w:t xml:space="preserve">     MySQL      MinIO      External APIs</w:t>
      </w:r>
    </w:p>
    <w:p>
      <w:pPr>
        <w:pStyle w:val="Heading2"/>
      </w:pPr>
      <w:r>
        <w:rPr>
          <w:rFonts w:ascii="Arial" w:hAnsi="Arial" w:eastAsia="PingFang SC"/>
        </w:rPr>
        <w:t>3.1 主仓库</w:t>
      </w:r>
    </w:p>
    <w:p>
      <w:pPr>
        <w:pStyle w:val="ListBullet"/>
      </w:pPr>
      <w:r>
        <w:rPr>
          <w:rFonts w:ascii="Arial" w:hAnsi="Arial" w:eastAsia="PingFang SC"/>
          <w:color w:val="1F4D78"/>
          <w:sz w:val="19"/>
        </w:rPr>
        <w:t>frontend/</w:t>
      </w:r>
      <w:r>
        <w:rPr>
          <w:rFonts w:ascii="Arial" w:hAnsi="Arial" w:eastAsia="PingFang SC"/>
        </w:rPr>
        <w:t xml:space="preserve">：Vue 3 单页应用，按角色挂载路由；天枢源码位于 </w:t>
      </w:r>
      <w:r>
        <w:rPr>
          <w:rFonts w:ascii="Arial" w:hAnsi="Arial" w:eastAsia="PingFang SC"/>
          <w:color w:val="1F4D78"/>
          <w:sz w:val="19"/>
        </w:rPr>
        <w:t>frontend/tianshu-src/</w:t>
      </w:r>
      <w:r>
        <w:rPr>
          <w:rFonts w:ascii="Arial" w:hAnsi="Arial" w:eastAsia="PingFang SC"/>
        </w:rPr>
        <w:t>。</w:t>
      </w:r>
    </w:p>
    <w:p>
      <w:pPr>
        <w:pStyle w:val="ListBullet"/>
      </w:pPr>
      <w:r>
        <w:rPr>
          <w:rFonts w:ascii="Arial" w:hAnsi="Arial" w:eastAsia="PingFang SC"/>
          <w:color w:val="1F4D78"/>
          <w:sz w:val="19"/>
        </w:rPr>
        <w:t>backend/</w:t>
      </w:r>
      <w:r>
        <w:rPr>
          <w:rFonts w:ascii="Arial" w:hAnsi="Arial" w:eastAsia="PingFang SC"/>
        </w:rPr>
        <w:t>：FastAPI 路由、SQLAlchemy 模型、Alembic 迁移、业务服务、后台扫描任务和测试。</w:t>
      </w:r>
    </w:p>
    <w:p>
      <w:pPr>
        <w:pStyle w:val="ListBullet"/>
      </w:pPr>
      <w:r>
        <w:rPr>
          <w:rFonts w:ascii="Arial" w:hAnsi="Arial" w:eastAsia="PingFang SC"/>
          <w:color w:val="1F4D78"/>
          <w:sz w:val="19"/>
        </w:rPr>
        <w:t>demo-console/</w:t>
      </w:r>
      <w:r>
        <w:rPr>
          <w:rFonts w:ascii="Arial" w:hAnsi="Arial" w:eastAsia="PingFang SC"/>
        </w:rPr>
        <w:t xml:space="preserve">：独立 Vue 3 应用，通过同源 </w:t>
      </w:r>
      <w:r>
        <w:rPr>
          <w:rFonts w:ascii="Arial" w:hAnsi="Arial" w:eastAsia="PingFang SC"/>
          <w:color w:val="1F4D78"/>
          <w:sz w:val="19"/>
        </w:rPr>
        <w:t>/api</w:t>
      </w:r>
      <w:r>
        <w:rPr>
          <w:rFonts w:ascii="Arial" w:hAnsi="Arial" w:eastAsia="PingFang SC"/>
        </w:rPr>
        <w:t xml:space="preserve"> 访问后端。</w:t>
      </w:r>
    </w:p>
    <w:p>
      <w:pPr>
        <w:pStyle w:val="ListBullet"/>
      </w:pPr>
      <w:r>
        <w:rPr>
          <w:rFonts w:ascii="Arial" w:hAnsi="Arial" w:eastAsia="PingFang SC"/>
          <w:color w:val="1F4D78"/>
          <w:sz w:val="19"/>
        </w:rPr>
        <w:t>docs/</w:t>
      </w:r>
      <w:r>
        <w:rPr>
          <w:rFonts w:ascii="Arial" w:hAnsi="Arial" w:eastAsia="PingFang SC"/>
        </w:rPr>
        <w:t>：权威技术文档、操作手册、运维文档和 RAG 来源。</w:t>
      </w:r>
    </w:p>
    <w:p>
      <w:pPr>
        <w:pStyle w:val="Heading2"/>
      </w:pPr>
      <w:r>
        <w:rPr>
          <w:rFonts w:ascii="Arial" w:hAnsi="Arial" w:eastAsia="PingFang SC"/>
        </w:rPr>
        <w:t>3.2 外部 Android 仓库</w:t>
      </w:r>
    </w:p>
    <w:p>
      <w:pPr>
        <w:pStyle w:val="ListBullet"/>
      </w:pPr>
      <w:r>
        <w:rPr>
          <w:rFonts w:ascii="Arial" w:hAnsi="Arial" w:eastAsia="PingFang SC"/>
          <w:color w:val="1F4D78"/>
          <w:sz w:val="19"/>
        </w:rPr>
        <w:t>/Users/Admin/Project/smart-scale-android</w:t>
      </w:r>
    </w:p>
    <w:p>
      <w:pPr>
        <w:pStyle w:val="ListBullet"/>
      </w:pPr>
      <w:r>
        <w:rPr>
          <w:rFonts w:ascii="Arial" w:hAnsi="Arial" w:eastAsia="PingFang SC"/>
          <w:color w:val="1F4D78"/>
          <w:sz w:val="19"/>
        </w:rPr>
        <w:t>/Users/Admin/Project/sorter-pda-android</w:t>
      </w:r>
    </w:p>
    <w:p>
      <w:pPr>
        <w:pStyle w:val="ListBullet"/>
      </w:pPr>
      <w:r>
        <w:rPr>
          <w:rFonts w:ascii="Arial" w:hAnsi="Arial" w:eastAsia="PingFang SC"/>
          <w:color w:val="1F4D78"/>
          <w:sz w:val="19"/>
        </w:rPr>
        <w:t>/Users/Admin/Project/driver-android</w:t>
      </w:r>
    </w:p>
    <w:p>
      <w:r>
        <w:rPr>
          <w:rFonts w:ascii="Arial" w:hAnsi="Arial" w:eastAsia="PingFang SC"/>
        </w:rPr>
        <w:t>这三个目录当前不是 Git 仓库，但属于九端整体交付范围。</w:t>
      </w:r>
    </w:p>
    <w:p>
      <w:pPr>
        <w:pStyle w:val="Heading1"/>
      </w:pPr>
      <w:r>
        <w:rPr>
          <w:rFonts w:ascii="Arial" w:hAnsi="Arial" w:eastAsia="PingFang SC"/>
        </w:rPr>
        <w:t>4. 核心业务流程</w:t>
      </w:r>
    </w:p>
    <w:p>
      <w:pPr>
        <w:pStyle w:val="Heading2"/>
      </w:pPr>
      <w:r>
        <w:rPr>
          <w:rFonts w:ascii="Arial" w:hAnsi="Arial" w:eastAsia="PingFang SC"/>
        </w:rPr>
        <w:t>4.1 招投标与合约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PingFang SC"/>
        </w:rPr>
        <w:t>采购方创建招标，确定履约周期、分类范围和价格浮动规则。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PingFang SC"/>
        </w:rPr>
        <w:t>配送商查看招标并提交报价。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PingFang SC"/>
        </w:rPr>
        <w:t>采购方评标并授标。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PingFang SC"/>
        </w:rPr>
        <w:t>系统生成状态为“已中标”的合约。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PingFang SC"/>
        </w:rPr>
        <w:t>下单时按食堂、配送日期和分类范围校验有效合约。</w:t>
      </w:r>
    </w:p>
    <w:p>
      <w:r>
        <w:rPr>
          <w:rFonts w:ascii="Arial" w:hAnsi="Arial" w:eastAsia="PingFang SC"/>
        </w:rPr>
        <w:t>合约状态只有“招标中、已中标、已过期”。</w:t>
      </w:r>
    </w:p>
    <w:p>
      <w:pPr>
        <w:pStyle w:val="Heading2"/>
      </w:pPr>
      <w:r>
        <w:rPr>
          <w:rFonts w:ascii="Arial" w:hAnsi="Arial" w:eastAsia="PingFang SC"/>
        </w:rPr>
        <w:t>4.2 下单与食堂隔离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PingFang SC"/>
        </w:rPr>
        <w:t>采购方登录。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PingFang SC"/>
        </w:rPr>
        <w:t xml:space="preserve">调用 </w:t>
      </w:r>
      <w:r>
        <w:rPr>
          <w:rFonts w:ascii="Arial" w:hAnsi="Arial" w:eastAsia="PingFang SC"/>
          <w:color w:val="1F4D78"/>
          <w:sz w:val="19"/>
        </w:rPr>
        <w:t>GET /api/client/canteens</w:t>
      </w:r>
      <w:r>
        <w:rPr>
          <w:rFonts w:ascii="Arial" w:hAnsi="Arial" w:eastAsia="PingFang SC"/>
        </w:rPr>
        <w:t xml:space="preserve"> 获取可用食堂。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PingFang SC"/>
        </w:rPr>
        <w:t xml:space="preserve">调用 </w:t>
      </w:r>
      <w:r>
        <w:rPr>
          <w:rFonts w:ascii="Arial" w:hAnsi="Arial" w:eastAsia="PingFang SC"/>
          <w:color w:val="1F4D78"/>
          <w:sz w:val="19"/>
        </w:rPr>
        <w:t>POST /api/client/canteen-session</w:t>
      </w:r>
      <w:r>
        <w:rPr>
          <w:rFonts w:ascii="Arial" w:hAnsi="Arial" w:eastAsia="PingFang SC"/>
        </w:rPr>
        <w:t xml:space="preserve"> 换取带食堂上下文的新令牌。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PingFang SC"/>
        </w:rPr>
        <w:t xml:space="preserve">在 </w:t>
      </w:r>
      <w:r>
        <w:rPr>
          <w:rFonts w:ascii="Arial" w:hAnsi="Arial" w:eastAsia="PingFang SC"/>
          <w:color w:val="1F4D78"/>
          <w:sz w:val="19"/>
        </w:rPr>
        <w:t>/client/orders/new</w:t>
      </w:r>
      <w:r>
        <w:rPr>
          <w:rFonts w:ascii="Arial" w:hAnsi="Arial" w:eastAsia="PingFang SC"/>
        </w:rPr>
        <w:t xml:space="preserve"> 搜索合约范围内商品并下单。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PingFang SC"/>
        </w:rPr>
        <w:t>订单保存食堂、配送商、配送地址、经纬度、日期、时窗、重量和体积等信息。</w:t>
      </w:r>
    </w:p>
    <w:p>
      <w:r>
        <w:rPr>
          <w:rFonts w:ascii="Arial" w:hAnsi="Arial" w:eastAsia="PingFang SC"/>
        </w:rPr>
        <w:t>OCR 和语音只负责辅助形成订单行，最终仍由用户检查后提交正式订单。</w:t>
      </w:r>
    </w:p>
    <w:p>
      <w:pPr>
        <w:pStyle w:val="Heading2"/>
      </w:pPr>
      <w:r>
        <w:rPr>
          <w:rFonts w:ascii="Arial" w:hAnsi="Arial" w:eastAsia="PingFang SC"/>
        </w:rPr>
        <w:t>4.3 分单、供货与分检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PingFang SC"/>
        </w:rPr>
        <w:t>新订单进入配送商待分单阶段。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PingFang SC"/>
        </w:rPr>
        <w:t>配送商通过智能分单预览规则和候选供货方，再提交分单结果。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PingFang SC"/>
        </w:rPr>
        <w:t>指定厂家商品只能分给其配置的指定厂家。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PingFang SC"/>
        </w:rPr>
        <w:t>普通供货方或指定厂家查看分给自己的订单行、打印分单标签并出库。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PingFang SC"/>
        </w:rPr>
        <w:t>分检 PDA 扫描标签，确认分单属于当前配送商、当日订单且已出库。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PingFang SC"/>
        </w:rPr>
        <w:t>每个分单只允许生成一条有效分检记录，重复扫描返回重复提示。</w:t>
      </w:r>
    </w:p>
    <w:p>
      <w:pPr>
        <w:pStyle w:val="Heading2"/>
      </w:pPr>
      <w:r>
        <w:rPr>
          <w:rFonts w:ascii="Arial" w:hAnsi="Arial" w:eastAsia="PingFang SC"/>
        </w:rPr>
        <w:t>4.4 路线、车次与司机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PingFang SC"/>
        </w:rPr>
        <w:t>配送商按计划日期、车辆能力、订单时窗和地理位置生成路线建议。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PingFang SC"/>
        </w:rPr>
        <w:t>路线提交后形成调度车次、站点和随车商品记录。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PingFang SC"/>
        </w:rPr>
        <w:t>调度员逐项确认装车；存在未就绪商品时正常发车会被阻止。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PingFang SC"/>
        </w:rPr>
        <w:t>必要时可记录原因和照片后执行异常发车。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PingFang SC"/>
        </w:rPr>
        <w:t>调度端发车后，司机端才能开始配送。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PingFang SC"/>
        </w:rPr>
        <w:t>司机确认站点送达，订单从“发货”进入“收货”。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PingFang SC"/>
        </w:rPr>
        <w:t>全部站点送达后车次完成。</w:t>
      </w:r>
    </w:p>
    <w:p>
      <w:r>
        <w:rPr>
          <w:rFonts w:ascii="Arial" w:hAnsi="Arial" w:eastAsia="PingFang SC"/>
        </w:rPr>
        <w:t xml:space="preserve">路线建议是计算结果；提交后的 </w:t>
      </w:r>
      <w:r>
        <w:rPr>
          <w:rFonts w:ascii="Arial" w:hAnsi="Arial" w:eastAsia="PingFang SC"/>
          <w:color w:val="1F4D78"/>
          <w:sz w:val="19"/>
        </w:rPr>
        <w:t>DeliveryDispatchTrip</w:t>
      </w:r>
      <w:r>
        <w:rPr>
          <w:rFonts w:ascii="Arial" w:hAnsi="Arial" w:eastAsia="PingFang SC"/>
        </w:rPr>
        <w:t>、</w:t>
      </w:r>
      <w:r>
        <w:rPr>
          <w:rFonts w:ascii="Arial" w:hAnsi="Arial" w:eastAsia="PingFang SC"/>
          <w:color w:val="1F4D78"/>
          <w:sz w:val="19"/>
        </w:rPr>
        <w:t>DeliveryDispatchStop</w:t>
      </w:r>
      <w:r>
        <w:rPr>
          <w:rFonts w:ascii="Arial" w:hAnsi="Arial" w:eastAsia="PingFang SC"/>
        </w:rPr>
        <w:t xml:space="preserve"> 和 </w:t>
      </w:r>
      <w:r>
        <w:rPr>
          <w:rFonts w:ascii="Arial" w:hAnsi="Arial" w:eastAsia="PingFang SC"/>
          <w:color w:val="1F4D78"/>
          <w:sz w:val="19"/>
        </w:rPr>
        <w:t>DeliveryDispatchItem</w:t>
      </w:r>
      <w:r>
        <w:rPr>
          <w:rFonts w:ascii="Arial" w:hAnsi="Arial" w:eastAsia="PingFang SC"/>
        </w:rPr>
        <w:t xml:space="preserve"> 才是持久化调度事实。</w:t>
      </w:r>
    </w:p>
    <w:p>
      <w:pPr>
        <w:pStyle w:val="Heading2"/>
      </w:pPr>
      <w:r>
        <w:rPr>
          <w:rFonts w:ascii="Arial" w:hAnsi="Arial" w:eastAsia="PingFang SC"/>
        </w:rPr>
        <w:t>4.5 智能秤收货与退货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PingFang SC"/>
        </w:rPr>
        <w:t>智能秤以采购方账号登录并选择食堂。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PingFang SC"/>
        </w:rPr>
        <w:t>终端读取订单和收货行。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PingFang SC"/>
        </w:rPr>
        <w:t>串口读取重量，锁定时通过 UVC 摄像头保存商品照片。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PingFang SC"/>
        </w:rPr>
        <w:t>用户按订单行确认实收数量或重量，并填写少收/退货原因。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PingFang SC"/>
        </w:rPr>
        <w:t>退货照片和双签图片上传到订单收货记录。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PingFang SC"/>
        </w:rPr>
        <w:t>完成收货后订单从“收货”进入“收货确认”。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PingFang SC"/>
        </w:rPr>
        <w:t>若配送商启用了退货复核，相关退货需在结算前审核。</w:t>
      </w:r>
    </w:p>
    <w:p>
      <w:pPr>
        <w:pStyle w:val="Heading2"/>
      </w:pPr>
      <w:r>
        <w:rPr>
          <w:rFonts w:ascii="Arial" w:hAnsi="Arial" w:eastAsia="PingFang SC"/>
        </w:rPr>
        <w:t>4.6 质检、投诉与账务</w:t>
      </w:r>
    </w:p>
    <w:p>
      <w:pPr>
        <w:pStyle w:val="ListBullet"/>
      </w:pPr>
      <w:r>
        <w:rPr>
          <w:rFonts w:ascii="Arial" w:hAnsi="Arial" w:eastAsia="PingFang SC"/>
        </w:rPr>
        <w:t>商品可配置批次质检或周期质检。</w:t>
      </w:r>
    </w:p>
    <w:p>
      <w:pPr>
        <w:pStyle w:val="ListBullet"/>
      </w:pPr>
      <w:r>
        <w:rPr>
          <w:rFonts w:ascii="Arial" w:hAnsi="Arial" w:eastAsia="PingFang SC"/>
        </w:rPr>
        <w:t>供货方和指定厂家提交对应报告，运营方审核周期报告及修订。</w:t>
      </w:r>
    </w:p>
    <w:p>
      <w:pPr>
        <w:pStyle w:val="ListBullet"/>
      </w:pPr>
      <w:r>
        <w:rPr>
          <w:rFonts w:ascii="Arial" w:hAnsi="Arial" w:eastAsia="PingFang SC"/>
        </w:rPr>
        <w:t>采购方可针对订单发起投诉，配送商回复，运营方结案。</w:t>
      </w:r>
    </w:p>
    <w:p>
      <w:pPr>
        <w:pStyle w:val="ListBullet"/>
      </w:pPr>
      <w:r>
        <w:rPr>
          <w:rFonts w:ascii="Arial" w:hAnsi="Arial" w:eastAsia="PingFang SC"/>
        </w:rPr>
        <w:t>工单状态为“待处理、处理中、已关闭”。</w:t>
      </w:r>
    </w:p>
    <w:p>
      <w:pPr>
        <w:pStyle w:val="ListBullet"/>
      </w:pPr>
      <w:r>
        <w:rPr>
          <w:rFonts w:ascii="Arial" w:hAnsi="Arial" w:eastAsia="PingFang SC"/>
        </w:rPr>
        <w:t>账期生成各主体的应收/应付账单和食堂维度对账单。</w:t>
      </w:r>
    </w:p>
    <w:p>
      <w:pPr>
        <w:pStyle w:val="ListBullet"/>
      </w:pPr>
      <w:r>
        <w:rPr>
          <w:rFonts w:ascii="Arial" w:hAnsi="Arial" w:eastAsia="PingFang SC"/>
        </w:rPr>
        <w:t>对账确认、结算和订单最终结算分别由明确接口控制。</w:t>
      </w:r>
    </w:p>
    <w:p>
      <w:pPr>
        <w:pStyle w:val="Heading2"/>
      </w:pPr>
      <w:r>
        <w:rPr>
          <w:rFonts w:ascii="Arial" w:hAnsi="Arial" w:eastAsia="PingFang SC"/>
        </w:rPr>
        <w:t>4.7 监管与 AI</w:t>
      </w:r>
    </w:p>
    <w:p>
      <w:pPr>
        <w:pStyle w:val="ListBullet"/>
      </w:pPr>
      <w:r>
        <w:rPr>
          <w:rFonts w:ascii="Arial" w:hAnsi="Arial" w:eastAsia="PingFang SC"/>
        </w:rPr>
        <w:t>监管端聚合订单、履约、车辆、设备、温湿度、异常、质检和账务。</w:t>
      </w:r>
    </w:p>
    <w:p>
      <w:pPr>
        <w:pStyle w:val="ListBullet"/>
      </w:pPr>
      <w:r>
        <w:rPr>
          <w:rFonts w:ascii="Arial" w:hAnsi="Arial" w:eastAsia="PingFang SC"/>
        </w:rPr>
        <w:t>审计日志、状态日志、Outbox 事件和通知用于追踪关键动作。</w:t>
      </w:r>
    </w:p>
    <w:p>
      <w:pPr>
        <w:pStyle w:val="ListBullet"/>
      </w:pPr>
      <w:r>
        <w:rPr>
          <w:rFonts w:ascii="Arial" w:hAnsi="Arial" w:eastAsia="PingFang SC"/>
        </w:rPr>
        <w:t>监管广播可按全域、角色或用户发送，并记录接收和已读状态。</w:t>
      </w:r>
    </w:p>
    <w:p>
      <w:pPr>
        <w:pStyle w:val="ListBullet"/>
      </w:pPr>
      <w:r>
        <w:rPr>
          <w:rFonts w:ascii="Arial" w:hAnsi="Arial" w:eastAsia="PingFang SC"/>
        </w:rPr>
        <w:t>AI 助手使用业务查询工具回答实时数据问题，使用操作手册 RAG 回答“怎么操作”问题。</w:t>
      </w:r>
    </w:p>
    <w:p>
      <w:pPr>
        <w:pStyle w:val="ListBullet"/>
      </w:pPr>
      <w:r>
        <w:rPr>
          <w:rFonts w:ascii="Arial" w:hAnsi="Arial" w:eastAsia="PingFang SC"/>
        </w:rPr>
        <w:t>无模型密钥或模型网络失败时，可降级为本地工具和规则回答；页面必须显示降级事实。</w:t>
      </w:r>
    </w:p>
    <w:p>
      <w:pPr>
        <w:pStyle w:val="Heading1"/>
      </w:pPr>
      <w:r>
        <w:rPr>
          <w:rFonts w:ascii="Arial" w:hAnsi="Arial" w:eastAsia="PingFang SC"/>
        </w:rPr>
        <w:t>5. 状态模型</w:t>
      </w:r>
    </w:p>
    <w:p>
      <w:pPr>
        <w:pStyle w:val="Heading2"/>
      </w:pPr>
      <w:r>
        <w:rPr>
          <w:rFonts w:ascii="Arial" w:hAnsi="Arial" w:eastAsia="PingFang SC"/>
        </w:rPr>
        <w:t>5.1 主订单状态机</w:t>
      </w:r>
    </w:p>
    <w:p>
      <w:pPr>
        <w:keepLines/>
        <w:spacing w:before="80" w:after="160"/>
        <w:ind w:left="360" w:right="216"/>
      </w:pPr>
      <w:r>
        <w:rPr>
          <w:rFonts w:ascii="Arial" w:hAnsi="Arial" w:eastAsia="PingFang SC"/>
          <w:color w:val="1F4D78"/>
          <w:sz w:val="18"/>
        </w:rPr>
        <w:t>下单 -&gt; 配货 -&gt; 发货 -&gt; 收货 -&gt; 收货确认 -&gt; 已结算</w:t>
        <w:br/>
      </w:r>
      <w:r>
        <w:rPr>
          <w:rFonts w:ascii="Arial" w:hAnsi="Arial" w:eastAsia="PingFang SC"/>
          <w:color w:val="1F4D78"/>
          <w:sz w:val="18"/>
        </w:rPr>
        <w:t xml:space="preserve">  \-&gt; 取消</w:t>
      </w:r>
    </w:p>
    <w:p>
      <w:r>
        <w:rPr>
          <w:rFonts w:ascii="Arial" w:hAnsi="Arial" w:eastAsia="PingFang SC"/>
        </w:rPr>
        <w:t>合法流转：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当前状态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允许的下一状态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下单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配货、取消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配货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发货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发货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收货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收货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收货确认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收货确认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已结算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取消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无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已结算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无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PingFang SC"/>
        </w:rPr>
        <w:t>5.2 配送派生阶段</w:t>
      </w:r>
    </w:p>
    <w:p>
      <w:r>
        <w:rPr>
          <w:rFonts w:ascii="Arial" w:hAnsi="Arial" w:eastAsia="PingFang SC"/>
        </w:rPr>
        <w:t>配送阶段由订单状态、分单数量、已出库数量和 PDA 分检记录共同计算：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阶段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判定与动作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待分单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下单/配货状态且没有分单，进入智能分单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待供货商发货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已分单但未全部出库，可先安排路线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待分拣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全部分单已出库但未全部扫码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待取货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分检完成，等待装车和发车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配送中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主订单状态为“发货”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待客户收货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主订单状态为“收货”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待结算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主订单状态为“收货确认”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已完成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主订单状态为“已结算”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已取消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主订单状态为“取消”</w:t>
            </w:r>
          </w:p>
        </w:tc>
      </w:tr>
    </w:tbl>
    <w:p>
      <w:pPr>
        <w:spacing w:after="0"/>
      </w:pPr>
    </w:p>
    <w:p>
      <w:r>
        <w:rPr>
          <w:rFonts w:ascii="Arial" w:hAnsi="Arial" w:eastAsia="PingFang SC"/>
        </w:rPr>
        <w:t>派生阶段不单独存入订单状态字段。</w:t>
      </w:r>
    </w:p>
    <w:p>
      <w:pPr>
        <w:pStyle w:val="Heading1"/>
      </w:pPr>
      <w:r>
        <w:rPr>
          <w:rFonts w:ascii="Arial" w:hAnsi="Arial" w:eastAsia="PingFang SC"/>
        </w:rPr>
        <w:t>6. 数据领域</w:t>
      </w:r>
    </w:p>
    <w:p>
      <w:r>
        <w:rPr>
          <w:rFonts w:ascii="Arial" w:hAnsi="Arial" w:eastAsia="PingFang SC"/>
        </w:rPr>
        <w:t>主要持久化领域包括：</w:t>
      </w:r>
    </w:p>
    <w:p>
      <w:pPr>
        <w:pStyle w:val="ListBullet"/>
      </w:pPr>
      <w:r>
        <w:rPr>
          <w:rFonts w:ascii="Arial" w:hAnsi="Arial" w:eastAsia="PingFang SC"/>
        </w:rPr>
        <w:t>身份与组织：</w:t>
      </w:r>
      <w:r>
        <w:rPr>
          <w:rFonts w:ascii="Arial" w:hAnsi="Arial" w:eastAsia="PingFang SC"/>
          <w:color w:val="1F4D78"/>
          <w:sz w:val="19"/>
        </w:rPr>
        <w:t>User</w:t>
      </w:r>
      <w:r>
        <w:rPr>
          <w:rFonts w:ascii="Arial" w:hAnsi="Arial" w:eastAsia="PingFang SC"/>
        </w:rPr>
        <w:t>、</w:t>
      </w:r>
      <w:r>
        <w:rPr>
          <w:rFonts w:ascii="Arial" w:hAnsi="Arial" w:eastAsia="PingFang SC"/>
          <w:color w:val="1F4D78"/>
          <w:sz w:val="19"/>
        </w:rPr>
        <w:t>ClientCanteen</w:t>
      </w:r>
      <w:r>
        <w:rPr>
          <w:rFonts w:ascii="Arial" w:hAnsi="Arial" w:eastAsia="PingFang SC"/>
        </w:rPr>
        <w:t>。</w:t>
      </w:r>
    </w:p>
    <w:p>
      <w:pPr>
        <w:pStyle w:val="ListBullet"/>
      </w:pPr>
      <w:r>
        <w:rPr>
          <w:rFonts w:ascii="Arial" w:hAnsi="Arial" w:eastAsia="PingFang SC"/>
        </w:rPr>
        <w:t>商品与采购：</w:t>
      </w:r>
      <w:r>
        <w:rPr>
          <w:rFonts w:ascii="Arial" w:hAnsi="Arial" w:eastAsia="PingFang SC"/>
          <w:color w:val="1F4D78"/>
          <w:sz w:val="19"/>
        </w:rPr>
        <w:t>Category</w:t>
      </w:r>
      <w:r>
        <w:rPr>
          <w:rFonts w:ascii="Arial" w:hAnsi="Arial" w:eastAsia="PingFang SC"/>
        </w:rPr>
        <w:t>、</w:t>
      </w:r>
      <w:r>
        <w:rPr>
          <w:rFonts w:ascii="Arial" w:hAnsi="Arial" w:eastAsia="PingFang SC"/>
          <w:color w:val="1F4D78"/>
          <w:sz w:val="19"/>
        </w:rPr>
        <w:t>Product</w:t>
      </w:r>
      <w:r>
        <w:rPr>
          <w:rFonts w:ascii="Arial" w:hAnsi="Arial" w:eastAsia="PingFang SC"/>
        </w:rPr>
        <w:t>、</w:t>
      </w:r>
      <w:r>
        <w:rPr>
          <w:rFonts w:ascii="Arial" w:hAnsi="Arial" w:eastAsia="PingFang SC"/>
          <w:color w:val="1F4D78"/>
          <w:sz w:val="19"/>
        </w:rPr>
        <w:t>Tender</w:t>
      </w:r>
      <w:r>
        <w:rPr>
          <w:rFonts w:ascii="Arial" w:hAnsi="Arial" w:eastAsia="PingFang SC"/>
        </w:rPr>
        <w:t>、</w:t>
      </w:r>
      <w:r>
        <w:rPr>
          <w:rFonts w:ascii="Arial" w:hAnsi="Arial" w:eastAsia="PingFang SC"/>
          <w:color w:val="1F4D78"/>
          <w:sz w:val="19"/>
        </w:rPr>
        <w:t>TenderItem</w:t>
      </w:r>
      <w:r>
        <w:rPr>
          <w:rFonts w:ascii="Arial" w:hAnsi="Arial" w:eastAsia="PingFang SC"/>
        </w:rPr>
        <w:t>、</w:t>
      </w:r>
      <w:r>
        <w:rPr>
          <w:rFonts w:ascii="Arial" w:hAnsi="Arial" w:eastAsia="PingFang SC"/>
          <w:color w:val="1F4D78"/>
          <w:sz w:val="19"/>
        </w:rPr>
        <w:t>TenderBid</w:t>
      </w:r>
      <w:r>
        <w:rPr>
          <w:rFonts w:ascii="Arial" w:hAnsi="Arial" w:eastAsia="PingFang SC"/>
        </w:rPr>
        <w:t>、</w:t>
      </w:r>
      <w:r>
        <w:rPr>
          <w:rFonts w:ascii="Arial" w:hAnsi="Arial" w:eastAsia="PingFang SC"/>
          <w:color w:val="1F4D78"/>
          <w:sz w:val="19"/>
        </w:rPr>
        <w:t>Contract</w:t>
      </w:r>
      <w:r>
        <w:rPr>
          <w:rFonts w:ascii="Arial" w:hAnsi="Arial" w:eastAsia="PingFang SC"/>
        </w:rPr>
        <w:t>。</w:t>
      </w:r>
    </w:p>
    <w:p>
      <w:pPr>
        <w:pStyle w:val="ListBullet"/>
      </w:pPr>
      <w:r>
        <w:rPr>
          <w:rFonts w:ascii="Arial" w:hAnsi="Arial" w:eastAsia="PingFang SC"/>
        </w:rPr>
        <w:t>订单履约：</w:t>
      </w:r>
      <w:r>
        <w:rPr>
          <w:rFonts w:ascii="Arial" w:hAnsi="Arial" w:eastAsia="PingFang SC"/>
          <w:color w:val="1F4D78"/>
          <w:sz w:val="19"/>
        </w:rPr>
        <w:t>Order</w:t>
      </w:r>
      <w:r>
        <w:rPr>
          <w:rFonts w:ascii="Arial" w:hAnsi="Arial" w:eastAsia="PingFang SC"/>
        </w:rPr>
        <w:t>、</w:t>
      </w:r>
      <w:r>
        <w:rPr>
          <w:rFonts w:ascii="Arial" w:hAnsi="Arial" w:eastAsia="PingFang SC"/>
          <w:color w:val="1F4D78"/>
          <w:sz w:val="19"/>
        </w:rPr>
        <w:t>OrderItemAllocation</w:t>
      </w:r>
      <w:r>
        <w:rPr>
          <w:rFonts w:ascii="Arial" w:hAnsi="Arial" w:eastAsia="PingFang SC"/>
        </w:rPr>
        <w:t>、订单状态日志、收货行、退货和评价。</w:t>
      </w:r>
    </w:p>
    <w:p>
      <w:pPr>
        <w:pStyle w:val="ListBullet"/>
      </w:pPr>
      <w:r>
        <w:rPr>
          <w:rFonts w:ascii="Arial" w:hAnsi="Arial" w:eastAsia="PingFang SC"/>
        </w:rPr>
        <w:t>配送物流：车辆、设备绑定、地理围栏、仓库、冷链设备、调度车次、站点、随车商品、分检记录。</w:t>
      </w:r>
    </w:p>
    <w:p>
      <w:pPr>
        <w:pStyle w:val="ListBullet"/>
      </w:pPr>
      <w:r>
        <w:rPr>
          <w:rFonts w:ascii="Arial" w:hAnsi="Arial" w:eastAsia="PingFang SC"/>
        </w:rPr>
        <w:t>质量与售后：质检报告、周期质检报告、工单和告警。</w:t>
      </w:r>
    </w:p>
    <w:p>
      <w:pPr>
        <w:pStyle w:val="ListBullet"/>
      </w:pPr>
      <w:r>
        <w:rPr>
          <w:rFonts w:ascii="Arial" w:hAnsi="Arial" w:eastAsia="PingFang SC"/>
        </w:rPr>
        <w:t>财务：账期、账单、账单汇总和对账单。</w:t>
      </w:r>
    </w:p>
    <w:p>
      <w:pPr>
        <w:pStyle w:val="ListBullet"/>
      </w:pPr>
      <w:r>
        <w:rPr>
          <w:rFonts w:ascii="Arial" w:hAnsi="Arial" w:eastAsia="PingFang SC"/>
        </w:rPr>
        <w:t>监管与事件：审计日志、通知、监管广播、Outbox 事件和 IoT 数据。</w:t>
      </w:r>
    </w:p>
    <w:p>
      <w:pPr>
        <w:pStyle w:val="ListBullet"/>
      </w:pPr>
      <w:r>
        <w:rPr>
          <w:rFonts w:ascii="Arial" w:hAnsi="Arial" w:eastAsia="PingFang SC"/>
        </w:rPr>
        <w:t>图像识别：类别、样本、ROI、训练任务、模型包和发布记录。</w:t>
      </w:r>
    </w:p>
    <w:p>
      <w:r>
        <w:rPr>
          <w:rFonts w:ascii="Arial" w:hAnsi="Arial" w:eastAsia="PingFang SC"/>
        </w:rPr>
        <w:t>历史订单使用商品和分类快照，避免基础资料修改后破坏追溯口径。</w:t>
      </w:r>
    </w:p>
    <w:p>
      <w:pPr>
        <w:pStyle w:val="Heading1"/>
      </w:pPr>
      <w:r>
        <w:rPr>
          <w:rFonts w:ascii="Arial" w:hAnsi="Arial" w:eastAsia="PingFang SC"/>
        </w:rPr>
        <w:t>7. API 与页面入口</w:t>
      </w:r>
    </w:p>
    <w:p>
      <w:r>
        <w:rPr>
          <w:rFonts w:ascii="Arial" w:hAnsi="Arial" w:eastAsia="PingFang SC"/>
        </w:rPr>
        <w:t xml:space="preserve">完整接口以运行中的 FastAPI </w:t>
      </w:r>
      <w:r>
        <w:rPr>
          <w:rFonts w:ascii="Arial" w:hAnsi="Arial" w:eastAsia="PingFang SC"/>
          <w:color w:val="1F4D78"/>
          <w:sz w:val="19"/>
        </w:rPr>
        <w:t>/docs</w:t>
      </w:r>
      <w:r>
        <w:rPr>
          <w:rFonts w:ascii="Arial" w:hAnsi="Arial" w:eastAsia="PingFang SC"/>
        </w:rPr>
        <w:t xml:space="preserve"> 和前端 </w:t>
      </w:r>
      <w:r>
        <w:rPr>
          <w:rFonts w:ascii="Arial" w:hAnsi="Arial" w:eastAsia="PingFang SC"/>
          <w:color w:val="1F4D78"/>
          <w:sz w:val="19"/>
        </w:rPr>
        <w:t>/docs</w:t>
      </w:r>
      <w:r>
        <w:rPr>
          <w:rFonts w:ascii="Arial" w:hAnsi="Arial" w:eastAsia="PingFang SC"/>
        </w:rPr>
        <w:t xml:space="preserve"> 为准。本文档只列关键入口。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模块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关键 API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登录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POST /api/auth/login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GET /api/auth/me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食堂上下文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GET /api/client/canteens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POST /api/client/canteen-session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订单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POST /api/orders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GET /api/orders/{order_id}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分单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POST /api/delivery/smart-split/preview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POST /api/delivery/smart-split/commit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排线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POST /api/delivery/route-plan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POST /api/delivery/route-plan/commit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调度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GET /api/delivery/dispatch-trips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PDA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GET /api/delivery-sort/today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POST /api/delivery-sort/scan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司机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POST /api/driver/login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GET /api/driver/trips/today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智能秤收货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POST /api/orders/{order_id}/receive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账务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GET /api/bills/overview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GET /api/bills/reconciliations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监管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GET /api/monitor/neural/overview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GET /api/monitor/neural/logistics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AI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POST /api/chat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POST /api/chat/stream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健康检查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  <w:color w:val="1F4D78"/>
                <w:sz w:val="19"/>
              </w:rPr>
              <w:t>GET /api/system/healthz</w:t>
            </w:r>
            <w:r>
              <w:rPr>
                <w:rFonts w:ascii="Arial" w:hAnsi="Arial" w:eastAsia="PingFang SC"/>
              </w:rPr>
              <w:t>、</w:t>
            </w:r>
            <w:r>
              <w:rPr>
                <w:rFonts w:ascii="Arial" w:hAnsi="Arial" w:eastAsia="PingFang SC"/>
                <w:color w:val="1F4D78"/>
                <w:sz w:val="19"/>
              </w:rPr>
              <w:t>GET /api/system/readyz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PingFang SC"/>
        </w:rPr>
        <w:t>8. 外部集成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集成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用途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Arial" w:hAnsi="Arial" w:eastAsia="PingFang SC"/>
                <w:b/>
              </w:rPr>
              <w:t>失败时行为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高德地图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地理编码、路径和地图展示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显示错误或降级路线，不影响订单基本操作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北斗 18GPS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车辆实时位置和历史轨迹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保留最后状态并显示接口错误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萤石云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车辆/仓库摄像头直播和云台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不影响订单履约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精创冷云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仓库温湿度实时与历史数据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显示设备离线或服务不可用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百度表格 OCR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采购单图片解析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未配置时使用明确标识的演示解析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DashScope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AI 规划、回答和 Embedding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降级到本地规则/工具，不能伪装为模型成功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新发地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北京市场行情抓取和预测训练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使用已有数据，记录超时和限流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农产品价格网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全国价格采集、质量校验和分析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保留抓取日志和数据质量标记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快麦打印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分单标签云打印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打印失败不得自动标记出库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MinIO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图片、附件、报告和 APK 下载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PingFang SC"/>
              </w:rPr>
              <w:t>上传失败阻止依赖附件的提交</w:t>
            </w:r>
          </w:p>
        </w:tc>
      </w:tr>
    </w:tbl>
    <w:p>
      <w:pPr>
        <w:spacing w:after="0"/>
      </w:pPr>
    </w:p>
    <w:p>
      <w:r>
        <w:rPr>
          <w:rFonts w:ascii="Arial" w:hAnsi="Arial" w:eastAsia="PingFang SC"/>
        </w:rPr>
        <w:t>VPN、代理、DNS、白名单和供应商限流都可能导致外部接口超时。排障时应区分“业务代码错误”和“当前网络无法访问供应商”。</w:t>
      </w:r>
    </w:p>
    <w:p>
      <w:pPr>
        <w:pStyle w:val="Heading1"/>
      </w:pPr>
      <w:r>
        <w:rPr>
          <w:rFonts w:ascii="Arial" w:hAnsi="Arial" w:eastAsia="PingFang SC"/>
        </w:rPr>
        <w:t>9. 部署与运行</w:t>
      </w:r>
    </w:p>
    <w:p>
      <w:pPr>
        <w:pStyle w:val="Heading2"/>
      </w:pPr>
      <w:r>
        <w:rPr>
          <w:rFonts w:ascii="Arial" w:hAnsi="Arial" w:eastAsia="PingFang SC"/>
        </w:rPr>
        <w:t>9.1 当前基线</w:t>
      </w:r>
    </w:p>
    <w:p>
      <w:pPr>
        <w:pStyle w:val="ListBullet"/>
      </w:pPr>
      <w:r>
        <w:rPr>
          <w:rFonts w:ascii="Arial" w:hAnsi="Arial" w:eastAsia="PingFang SC"/>
        </w:rPr>
        <w:t xml:space="preserve">开发：Docker Compose </w:t>
      </w:r>
      <w:r>
        <w:rPr>
          <w:rFonts w:ascii="Arial" w:hAnsi="Arial" w:eastAsia="PingFang SC"/>
          <w:color w:val="1F4D78"/>
          <w:sz w:val="19"/>
        </w:rPr>
        <w:t>dev</w:t>
      </w:r>
      <w:r>
        <w:rPr>
          <w:rFonts w:ascii="Arial" w:hAnsi="Arial" w:eastAsia="PingFang SC"/>
        </w:rPr>
        <w:t xml:space="preserve"> profile，前端源码挂载，后端源码挂载。</w:t>
      </w:r>
    </w:p>
    <w:p>
      <w:pPr>
        <w:pStyle w:val="ListBullet"/>
      </w:pPr>
      <w:r>
        <w:rPr>
          <w:rFonts w:ascii="Arial" w:hAnsi="Arial" w:eastAsia="PingFang SC"/>
        </w:rPr>
        <w:t xml:space="preserve">生产：Docker Compose </w:t>
      </w:r>
      <w:r>
        <w:rPr>
          <w:rFonts w:ascii="Arial" w:hAnsi="Arial" w:eastAsia="PingFang SC"/>
          <w:color w:val="1F4D78"/>
          <w:sz w:val="19"/>
        </w:rPr>
        <w:t>prod</w:t>
      </w:r>
      <w:r>
        <w:rPr>
          <w:rFonts w:ascii="Arial" w:hAnsi="Arial" w:eastAsia="PingFang SC"/>
        </w:rPr>
        <w:t xml:space="preserve"> profile，前端 Nginx 静态资源，后端镜像运行。</w:t>
      </w:r>
    </w:p>
    <w:p>
      <w:pPr>
        <w:pStyle w:val="ListBullet"/>
      </w:pPr>
      <w:r>
        <w:rPr>
          <w:rFonts w:ascii="Arial" w:hAnsi="Arial" w:eastAsia="PingFang SC"/>
        </w:rPr>
        <w:t>数据库：MySQL 8。</w:t>
      </w:r>
    </w:p>
    <w:p>
      <w:pPr>
        <w:pStyle w:val="ListBullet"/>
      </w:pPr>
      <w:r>
        <w:rPr>
          <w:rFonts w:ascii="Arial" w:hAnsi="Arial" w:eastAsia="PingFang SC"/>
        </w:rPr>
        <w:t>对象存储：MinIO。</w:t>
      </w:r>
    </w:p>
    <w:p>
      <w:pPr>
        <w:pStyle w:val="ListBullet"/>
      </w:pPr>
      <w:r>
        <w:rPr>
          <w:rFonts w:ascii="Arial" w:hAnsi="Arial" w:eastAsia="PingFang SC"/>
        </w:rPr>
        <w:t>后端镜像：Python 3.11。</w:t>
      </w:r>
    </w:p>
    <w:p>
      <w:pPr>
        <w:pStyle w:val="ListBullet"/>
      </w:pPr>
      <w:r>
        <w:rPr>
          <w:rFonts w:ascii="Arial" w:hAnsi="Arial" w:eastAsia="PingFang SC"/>
        </w:rPr>
        <w:t>前端构建：Node.js 20。</w:t>
      </w:r>
    </w:p>
    <w:p>
      <w:r>
        <w:rPr>
          <w:rFonts w:ascii="Arial" w:hAnsi="Arial" w:eastAsia="PingFang SC"/>
        </w:rPr>
        <w:t>当前仓库没有 K8s、Helm、Ingress、Service 或 Deployment 清单。</w:t>
      </w:r>
    </w:p>
    <w:p>
      <w:pPr>
        <w:pStyle w:val="Heading2"/>
      </w:pPr>
      <w:r>
        <w:rPr>
          <w:rFonts w:ascii="Arial" w:hAnsi="Arial" w:eastAsia="PingFang SC"/>
        </w:rPr>
        <w:t>9.2 启动</w:t>
      </w:r>
    </w:p>
    <w:p>
      <w:pPr>
        <w:keepLines/>
        <w:spacing w:before="80" w:after="160"/>
        <w:ind w:left="360" w:right="216"/>
      </w:pPr>
      <w:r>
        <w:rPr>
          <w:rFonts w:ascii="Arial" w:hAnsi="Arial" w:eastAsia="PingFang SC"/>
          <w:color w:val="1F4D78"/>
          <w:sz w:val="18"/>
        </w:rPr>
        <w:t>cp .env.example .env</w:t>
        <w:br/>
      </w:r>
      <w:r>
        <w:rPr>
          <w:rFonts w:ascii="Arial" w:hAnsi="Arial" w:eastAsia="PingFang SC"/>
          <w:color w:val="1F4D78"/>
          <w:sz w:val="18"/>
        </w:rPr>
        <w:t>make dev-up</w:t>
      </w:r>
    </w:p>
    <w:p>
      <w:r>
        <w:rPr>
          <w:rFonts w:ascii="Arial" w:hAnsi="Arial" w:eastAsia="PingFang SC"/>
        </w:rPr>
        <w:t>生产：</w:t>
      </w:r>
    </w:p>
    <w:p>
      <w:pPr>
        <w:keepLines/>
        <w:spacing w:before="80" w:after="160"/>
        <w:ind w:left="360" w:right="216"/>
      </w:pPr>
      <w:r>
        <w:rPr>
          <w:rFonts w:ascii="Arial" w:hAnsi="Arial" w:eastAsia="PingFang SC"/>
          <w:color w:val="1F4D78"/>
          <w:sz w:val="18"/>
        </w:rPr>
        <w:t>make prod-up</w:t>
      </w:r>
    </w:p>
    <w:p>
      <w:pPr>
        <w:pStyle w:val="Heading2"/>
      </w:pPr>
      <w:r>
        <w:rPr>
          <w:rFonts w:ascii="Arial" w:hAnsi="Arial" w:eastAsia="PingFang SC"/>
        </w:rPr>
        <w:t>9.3 生产要求</w:t>
      </w:r>
    </w:p>
    <w:p>
      <w:pPr>
        <w:pStyle w:val="ListBullet"/>
      </w:pPr>
      <w:r>
        <w:rPr>
          <w:rFonts w:ascii="Arial" w:hAnsi="Arial" w:eastAsia="PingFang SC"/>
        </w:rPr>
        <w:t>使用随机强密码和独立 JWT 密钥。</w:t>
      </w:r>
    </w:p>
    <w:p>
      <w:pPr>
        <w:pStyle w:val="ListBullet"/>
      </w:pPr>
      <w:r>
        <w:rPr>
          <w:rFonts w:ascii="Arial" w:hAnsi="Arial" w:eastAsia="PingFang SC"/>
          <w:color w:val="1F4D78"/>
          <w:sz w:val="19"/>
        </w:rPr>
        <w:t>DEMO_MODE=false</w:t>
      </w:r>
      <w:r>
        <w:rPr>
          <w:rFonts w:ascii="Arial" w:hAnsi="Arial" w:eastAsia="PingFang SC"/>
        </w:rPr>
        <w:t>、</w:t>
      </w:r>
      <w:r>
        <w:rPr>
          <w:rFonts w:ascii="Arial" w:hAnsi="Arial" w:eastAsia="PingFang SC"/>
          <w:color w:val="1F4D78"/>
          <w:sz w:val="19"/>
        </w:rPr>
        <w:t>SEED_ON_START=false</w:t>
      </w:r>
      <w:r>
        <w:rPr>
          <w:rFonts w:ascii="Arial" w:hAnsi="Arial" w:eastAsia="PingFang SC"/>
        </w:rPr>
        <w:t>。</w:t>
      </w:r>
    </w:p>
    <w:p>
      <w:pPr>
        <w:pStyle w:val="ListBullet"/>
      </w:pPr>
      <w:r>
        <w:rPr>
          <w:rFonts w:ascii="Arial" w:hAnsi="Arial" w:eastAsia="PingFang SC"/>
        </w:rPr>
        <w:t xml:space="preserve">根据迁移策略决定是否允许 </w:t>
      </w:r>
      <w:r>
        <w:rPr>
          <w:rFonts w:ascii="Arial" w:hAnsi="Arial" w:eastAsia="PingFang SC"/>
          <w:color w:val="1F4D78"/>
          <w:sz w:val="19"/>
        </w:rPr>
        <w:t>AUTO_CREATE_SCHEMA</w:t>
      </w:r>
      <w:r>
        <w:rPr>
          <w:rFonts w:ascii="Arial" w:hAnsi="Arial" w:eastAsia="PingFang SC"/>
        </w:rPr>
        <w:t>。</w:t>
      </w:r>
    </w:p>
    <w:p>
      <w:pPr>
        <w:pStyle w:val="ListBullet"/>
      </w:pPr>
      <w:r>
        <w:rPr>
          <w:rFonts w:ascii="Arial" w:hAnsi="Arial" w:eastAsia="PingFang SC"/>
        </w:rPr>
        <w:t>限制 MySQL、MinIO 和后端端口的公网暴露。</w:t>
      </w:r>
    </w:p>
    <w:p>
      <w:pPr>
        <w:pStyle w:val="ListBullet"/>
      </w:pPr>
      <w:r>
        <w:rPr>
          <w:rFonts w:ascii="Arial" w:hAnsi="Arial" w:eastAsia="PingFang SC"/>
        </w:rPr>
        <w:t>配置 HTTPS、域名、CORS、对象存储公开地址和备份。</w:t>
      </w:r>
    </w:p>
    <w:p>
      <w:pPr>
        <w:pStyle w:val="ListBullet"/>
      </w:pPr>
      <w:r>
        <w:rPr>
          <w:rFonts w:ascii="Arial" w:hAnsi="Arial" w:eastAsia="PingFang SC"/>
        </w:rPr>
        <w:t>第三方密钥只写入部署环境，不写入仓库或正式文档。</w:t>
      </w:r>
    </w:p>
    <w:p>
      <w:pPr>
        <w:pStyle w:val="Heading1"/>
      </w:pPr>
      <w:r>
        <w:rPr>
          <w:rFonts w:ascii="Arial" w:hAnsi="Arial" w:eastAsia="PingFang SC"/>
        </w:rPr>
        <w:t>10. 运维与可观测性</w:t>
      </w:r>
    </w:p>
    <w:p>
      <w:pPr>
        <w:pStyle w:val="ListBullet"/>
      </w:pPr>
      <w:r>
        <w:rPr>
          <w:rFonts w:ascii="Arial" w:hAnsi="Arial" w:eastAsia="PingFang SC"/>
        </w:rPr>
        <w:t>存活检查：</w:t>
      </w:r>
      <w:r>
        <w:rPr>
          <w:rFonts w:ascii="Arial" w:hAnsi="Arial" w:eastAsia="PingFang SC"/>
          <w:color w:val="1F4D78"/>
          <w:sz w:val="19"/>
        </w:rPr>
        <w:t>GET /api/system/healthz</w:t>
      </w:r>
      <w:r>
        <w:rPr>
          <w:rFonts w:ascii="Arial" w:hAnsi="Arial" w:eastAsia="PingFang SC"/>
        </w:rPr>
        <w:t>。</w:t>
      </w:r>
    </w:p>
    <w:p>
      <w:pPr>
        <w:pStyle w:val="ListBullet"/>
      </w:pPr>
      <w:r>
        <w:rPr>
          <w:rFonts w:ascii="Arial" w:hAnsi="Arial" w:eastAsia="PingFang SC"/>
        </w:rPr>
        <w:t>就绪检查：</w:t>
      </w:r>
      <w:r>
        <w:rPr>
          <w:rFonts w:ascii="Arial" w:hAnsi="Arial" w:eastAsia="PingFang SC"/>
          <w:color w:val="1F4D78"/>
          <w:sz w:val="19"/>
        </w:rPr>
        <w:t>GET /api/system/readyz</w:t>
      </w:r>
      <w:r>
        <w:rPr>
          <w:rFonts w:ascii="Arial" w:hAnsi="Arial" w:eastAsia="PingFang SC"/>
        </w:rPr>
        <w:t>。</w:t>
      </w:r>
    </w:p>
    <w:p>
      <w:pPr>
        <w:pStyle w:val="ListBullet"/>
      </w:pPr>
      <w:r>
        <w:rPr>
          <w:rFonts w:ascii="Arial" w:hAnsi="Arial" w:eastAsia="PingFang SC"/>
        </w:rPr>
        <w:t xml:space="preserve">HTTP 响应包含 </w:t>
      </w:r>
      <w:r>
        <w:rPr>
          <w:rFonts w:ascii="Arial" w:hAnsi="Arial" w:eastAsia="PingFang SC"/>
          <w:color w:val="1F4D78"/>
          <w:sz w:val="19"/>
        </w:rPr>
        <w:t>X-Trace-Id</w:t>
      </w:r>
      <w:r>
        <w:rPr>
          <w:rFonts w:ascii="Arial" w:hAnsi="Arial" w:eastAsia="PingFang SC"/>
        </w:rPr>
        <w:t>，便于跨日志关联。</w:t>
      </w:r>
    </w:p>
    <w:p>
      <w:pPr>
        <w:pStyle w:val="ListBullet"/>
      </w:pPr>
      <w:r>
        <w:rPr>
          <w:rFonts w:ascii="Arial" w:hAnsi="Arial" w:eastAsia="PingFang SC"/>
        </w:rPr>
        <w:t>订单状态、重要操作、通知和异步事件分别有日志或持久化记录。</w:t>
      </w:r>
    </w:p>
    <w:p>
      <w:pPr>
        <w:pStyle w:val="ListBullet"/>
      </w:pPr>
      <w:r>
        <w:rPr>
          <w:rFonts w:ascii="Arial" w:hAnsi="Arial" w:eastAsia="PingFang SC"/>
        </w:rPr>
        <w:t>后台任务包括超期扫描、账务跟进和可选 IoT 模拟器。</w:t>
      </w:r>
    </w:p>
    <w:p>
      <w:pPr>
        <w:pStyle w:val="ListBullet"/>
      </w:pPr>
      <w:r>
        <w:rPr>
          <w:rFonts w:ascii="Arial" w:hAnsi="Arial" w:eastAsia="PingFang SC"/>
        </w:rPr>
        <w:t xml:space="preserve">迁移文件当前到 </w:t>
      </w:r>
      <w:r>
        <w:rPr>
          <w:rFonts w:ascii="Arial" w:hAnsi="Arial" w:eastAsia="PingFang SC"/>
          <w:color w:val="1F4D78"/>
          <w:sz w:val="19"/>
        </w:rPr>
        <w:t>20260611_0039_smart_scale_roi_review.py</w:t>
      </w:r>
      <w:r>
        <w:rPr>
          <w:rFonts w:ascii="Arial" w:hAnsi="Arial" w:eastAsia="PingFang SC"/>
        </w:rPr>
        <w:t>。</w:t>
      </w:r>
    </w:p>
    <w:p>
      <w:r>
        <w:rPr>
          <w:rFonts w:ascii="Arial" w:hAnsi="Arial" w:eastAsia="PingFang SC"/>
        </w:rPr>
        <w:t>详细操作见 [运维手册](ops-runbook.md)。</w:t>
      </w:r>
    </w:p>
    <w:p>
      <w:pPr>
        <w:pStyle w:val="Heading1"/>
      </w:pPr>
      <w:r>
        <w:rPr>
          <w:rFonts w:ascii="Arial" w:hAnsi="Arial" w:eastAsia="PingFang SC"/>
        </w:rPr>
        <w:t>11. 已知限制</w:t>
      </w:r>
    </w:p>
    <w:p>
      <w:pPr>
        <w:pStyle w:val="ListBullet"/>
      </w:pPr>
      <w:r>
        <w:rPr>
          <w:rFonts w:ascii="Arial" w:hAnsi="Arial" w:eastAsia="PingFang SC"/>
        </w:rPr>
        <w:t>司机登录密码目前仍是演示逻辑，生产化前必须改成独立凭据管理。</w:t>
      </w:r>
    </w:p>
    <w:p>
      <w:pPr>
        <w:pStyle w:val="ListBullet"/>
      </w:pPr>
      <w:r>
        <w:rPr>
          <w:rFonts w:ascii="Arial" w:hAnsi="Arial" w:eastAsia="PingFang SC"/>
        </w:rPr>
        <w:t>外部地图、行情、AI、摄像头和 IoT 服务受网络、VPN、供应商配额和白名单影响。</w:t>
      </w:r>
    </w:p>
    <w:p>
      <w:pPr>
        <w:pStyle w:val="ListBullet"/>
      </w:pPr>
      <w:r>
        <w:rPr>
          <w:rFonts w:ascii="Arial" w:hAnsi="Arial" w:eastAsia="PingFang SC"/>
          <w:color w:val="1F4D78"/>
          <w:sz w:val="19"/>
        </w:rPr>
        <w:t>AUTO_CREATE_SCHEMA</w:t>
      </w:r>
      <w:r>
        <w:rPr>
          <w:rFonts w:ascii="Arial" w:hAnsi="Arial" w:eastAsia="PingFang SC"/>
        </w:rPr>
        <w:t xml:space="preserve"> 与 Alembic 同时存在，生产应确定唯一受控的结构变更流程。</w:t>
      </w:r>
    </w:p>
    <w:p>
      <w:pPr>
        <w:pStyle w:val="ListBullet"/>
      </w:pPr>
      <w:r>
        <w:rPr>
          <w:rFonts w:ascii="Arial" w:hAnsi="Arial" w:eastAsia="PingFang SC"/>
        </w:rPr>
        <w:t>Android 三个目录当前未纳入独立 Git 仓库，版本追踪和发布流程需要额外治理。</w:t>
      </w:r>
    </w:p>
    <w:p>
      <w:pPr>
        <w:pStyle w:val="ListBullet"/>
      </w:pPr>
      <w:r>
        <w:rPr>
          <w:rFonts w:ascii="Arial" w:hAnsi="Arial" w:eastAsia="PingFang SC"/>
        </w:rPr>
        <w:t>项目当前只有 Docker Compose 部署资料；若未来采用 Kubernetes，必须以实际清单另建部署章节。</w:t>
      </w:r>
    </w:p>
    <w:p>
      <w:pPr>
        <w:pStyle w:val="Heading1"/>
      </w:pPr>
      <w:r>
        <w:rPr>
          <w:rFonts w:ascii="Arial" w:hAnsi="Arial" w:eastAsia="PingFang SC"/>
        </w:rPr>
        <w:t>12. 文档治理</w:t>
      </w:r>
    </w:p>
    <w:p>
      <w:pPr>
        <w:pStyle w:val="ListBullet"/>
      </w:pPr>
      <w:r>
        <w:rPr>
          <w:rFonts w:ascii="Arial" w:hAnsi="Arial" w:eastAsia="PingFang SC"/>
        </w:rPr>
        <w:t>操作手册是监管 AI “怎么操作”问题的 RAG 来源。</w:t>
      </w:r>
    </w:p>
    <w:p>
      <w:pPr>
        <w:pStyle w:val="ListBullet"/>
      </w:pPr>
      <w:r>
        <w:rPr>
          <w:rFonts w:ascii="Arial" w:hAnsi="Arial" w:eastAsia="PingFang SC"/>
        </w:rPr>
        <w:t>计划、QA 记录、临时地址和开发过程稿不得进入索引。</w:t>
      </w:r>
    </w:p>
    <w:p>
      <w:pPr>
        <w:pStyle w:val="ListBullet"/>
      </w:pPr>
      <w:r>
        <w:rPr>
          <w:rFonts w:ascii="Arial" w:hAnsi="Arial" w:eastAsia="PingFang SC"/>
        </w:rPr>
        <w:t xml:space="preserve">修改本文件后运行 </w:t>
      </w:r>
      <w:r>
        <w:rPr>
          <w:rFonts w:ascii="Arial" w:hAnsi="Arial" w:eastAsia="PingFang SC"/>
          <w:color w:val="1F4D78"/>
          <w:sz w:val="19"/>
        </w:rPr>
        <w:t>make docs-build</w:t>
      </w:r>
      <w:r>
        <w:rPr>
          <w:rFonts w:ascii="Arial" w:hAnsi="Arial" w:eastAsia="PingFang SC"/>
        </w:rPr>
        <w:t xml:space="preserve"> 生成 Word。</w:t>
      </w:r>
    </w:p>
    <w:p>
      <w:pPr>
        <w:pStyle w:val="ListBullet"/>
      </w:pPr>
      <w:r>
        <w:rPr>
          <w:rFonts w:ascii="Arial" w:hAnsi="Arial" w:eastAsia="PingFang SC"/>
        </w:rPr>
        <w:t xml:space="preserve">提交前运行 </w:t>
      </w:r>
      <w:r>
        <w:rPr>
          <w:rFonts w:ascii="Arial" w:hAnsi="Arial" w:eastAsia="PingFang SC"/>
          <w:color w:val="1F4D78"/>
          <w:sz w:val="19"/>
        </w:rPr>
        <w:t>make docs-check</w:t>
      </w:r>
      <w:r>
        <w:rPr>
          <w:rFonts w:ascii="Arial" w:hAnsi="Arial" w:eastAsia="PingFang SC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color w:val="666666"/>
        <w:sz w:val="18"/>
      </w:rPr>
      <w:t xml:space="preserve">第 </w:t>
    </w:r>
    <w:fldSimple w:instr="PAGE"/>
    <w:r>
      <w:rPr>
        <w:rFonts w:ascii="Arial" w:hAnsi="Arial" w:eastAsia="PingFang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PingFang SC"/>
        <w:color w:val="666666"/>
        <w:sz w:val="18"/>
      </w:rPr>
      <w:t>大宗物资供应链全链路管理系统  |  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PingFang SC"/>
      <w:b/>
      <w:color w:val="1F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PingFang SC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rial" w:hAnsi="Arial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rial" w:hAnsi="Arial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