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78103f456a9d05ccd6a37a42abc8c417ee1597"/>
    <w:p>
      <w:pPr>
        <w:pStyle w:val="Heading1"/>
      </w:pPr>
      <w:r>
        <w:t xml:space="preserve">Sources AI engines cite in Vietnam — September 2026</w:t>
      </w:r>
    </w:p>
    <w:p>
      <w:pPr>
        <w:pStyle w:val="FirstParagraph"/>
      </w:pPr>
      <w:r>
        <w:rPr>
          <w:i/>
          <w:iCs/>
        </w:rPr>
        <w:t xml:space="preserve">Which websites ChatGPT, Claude, Google AI Overview, Perplexity lean on when they answer Vietnamese buyers. Measured, not surveyed.</w:t>
      </w:r>
    </w:p>
    <w:p>
      <w:pPr>
        <w:pStyle w:val="BodyText"/>
      </w:pPr>
      <w:r>
        <w:t xml:space="preserve">Updated: 2026-09-23 · https://app.memecmo.ai/sources/vietnam</w:t>
      </w:r>
    </w:p>
    <w:p>
      <w:pPr>
        <w:pStyle w:val="BodyText"/>
      </w:pPr>
      <w:r>
        <w:t xml:space="preserve">Every month MemeCMO asks the AI engines the questions real buyers ask, across 6 industries in Vietnam, and records every source they cite. This list ranks only the sources that appear across at least 5 independent brand panels, so no single brand or industry shapes it. Sites owned by the tracked brands are excluded.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Answers with citations</w:t>
            </w:r>
          </w:p>
        </w:tc>
        <w:tc>
          <w:tcPr/>
          <w:p>
            <w:pPr>
              <w:pStyle w:val="Compact"/>
            </w:pPr>
            <w:r>
              <w:t xml:space="preserve">Brand panels</w:t>
            </w:r>
          </w:p>
        </w:tc>
        <w:tc>
          <w:tcPr/>
          <w:p>
            <w:pPr>
              <w:pStyle w:val="Compact"/>
            </w:pPr>
            <w:r>
              <w:t xml:space="preserve">Industries</w:t>
            </w:r>
          </w:p>
        </w:tc>
        <w:tc>
          <w:tcPr/>
          <w:p>
            <w:pPr>
              <w:pStyle w:val="Compact"/>
            </w:pPr>
            <w:r>
              <w:t xml:space="preserve">AI engines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1,992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2026-07-27 → 2026-09-21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742"/>
        <w:gridCol w:w="742"/>
        <w:gridCol w:w="742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Answers citing 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Engines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/ second half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facebook.com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 / 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vnexpress.net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 / 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scribd.com</w:t>
            </w:r>
          </w:p>
        </w:tc>
        <w:tc>
          <w:tcPr/>
          <w:p>
            <w:pPr>
              <w:pStyle w:val="Compact"/>
            </w:pPr>
            <w:r>
              <w:t xml:space="preserve">Document platform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 / 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wikipedia.org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 / 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brandsvietnam.com</w:t>
            </w:r>
          </w:p>
        </w:tc>
        <w:tc>
          <w:tcPr/>
          <w:p>
            <w:pPr>
              <w:pStyle w:val="Compact"/>
            </w:pPr>
            <w:r>
              <w:t xml:space="preserve">Industry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 /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vietnam.vn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 / 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cafef.vn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 /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youtube.com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 /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sites.google.com</w:t>
            </w:r>
          </w:p>
        </w:tc>
        <w:tc>
          <w:tcPr/>
          <w:p>
            <w:pPr>
              <w:pStyle w:val="Compact"/>
            </w:pPr>
            <w:r>
              <w:t xml:space="preserve">Directory / listing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mytour.vn</w:t>
            </w:r>
          </w:p>
        </w:tc>
        <w:tc>
          <w:tcPr/>
          <w:p>
            <w:pPr>
              <w:pStyle w:val="Compact"/>
            </w:pPr>
            <w:r>
              <w:t xml:space="preserve">Directory / listing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/ 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linkedin.com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 /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reddit.com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/ 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vietnamnet.vn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 /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voz.vn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/ 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kenh14.vn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 / 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google.com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/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slideshare.net</w:t>
            </w:r>
          </w:p>
        </w:tc>
        <w:tc>
          <w:tcPr/>
          <w:p>
            <w:pPr>
              <w:pStyle w:val="Compact"/>
            </w:pPr>
            <w:r>
              <w:t xml:space="preserve">Document platform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 / 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vov.vn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 /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amazon.com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/ 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studocu.vn</w:t>
            </w:r>
          </w:p>
        </w:tc>
        <w:tc>
          <w:tcPr/>
          <w:p>
            <w:pPr>
              <w:pStyle w:val="Compact"/>
            </w:pPr>
            <w:r>
              <w:t xml:space="preserve">Document platform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 /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congthuong.vn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 / 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baomoi.com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 / 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topcv.vn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/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thanhnien.vn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/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tuoitre.vn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/ 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lemon8-app.com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toplist.vn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/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tinhte.vn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/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dantri.com.vn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/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shopee.vn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/ 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fptshop.com.vn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znews.vn</w:t>
            </w:r>
          </w:p>
        </w:tc>
        <w:tc>
          <w:tcPr/>
          <w:p>
            <w:pPr>
              <w:pStyle w:val="Compact"/>
            </w:pPr>
            <w:r>
              <w:t xml:space="preserve">News media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/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sggp.org.vn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/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apple.com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baotintuc.vn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tiktok.com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maisonoffice.vn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/ 6</w:t>
            </w:r>
          </w:p>
        </w:tc>
      </w:tr>
    </w:tbl>
    <w:p>
      <w:pPr>
        <w:pStyle w:val="BodyText"/>
      </w:pPr>
      <w:r>
        <w:t xml:space="preserve">Share = answers citing the source ÷ all answers with citations in the window.</w:t>
      </w:r>
    </w:p>
    <w:p>
      <w:pPr>
        <w:pStyle w:val="BodyText"/>
      </w:pPr>
      <w:r>
        <w:t xml:space="preserve">T1 = passes all three tests: ≥40 citing answers, ≥2 engines, and present in both halves of the window (≥5 each). T2 = two of three. Sources passing one test are not listed.</w:t>
      </w:r>
    </w:p>
    <w:bookmarkStart w:id="9" w:name="how-it-is-measured"/>
    <w:p>
      <w:pPr>
        <w:pStyle w:val="Heading2"/>
      </w:pPr>
      <w:r>
        <w:t xml:space="preserve">How it is measured</w:t>
      </w:r>
    </w:p>
    <w:p>
      <w:pPr>
        <w:pStyle w:val="Compact"/>
        <w:numPr>
          <w:ilvl w:val="0"/>
          <w:numId w:val="1001"/>
        </w:numPr>
      </w:pPr>
      <w:r>
        <w:t xml:space="preserve">Window of 60 days (2026-07-27 → 2026-09-21); 1,992 answers with citations from 10 brand panels, 4 organisations, 6 industries; engines: ChatGPT, Claude, Google AI Overview, Perplexity.</w:t>
      </w:r>
    </w:p>
    <w:p>
      <w:pPr>
        <w:pStyle w:val="Compact"/>
        <w:numPr>
          <w:ilvl w:val="0"/>
          <w:numId w:val="1001"/>
        </w:numPr>
      </w:pPr>
      <w:r>
        <w:t xml:space="preserve">The unit is the answer: an answer citing three pages of one site counts once. Subdomains are merged into the registrable domain (e.vnexpress.net → vnexpress.net).</w:t>
      </w:r>
    </w:p>
    <w:p>
      <w:pPr>
        <w:pStyle w:val="Compact"/>
        <w:numPr>
          <w:ilvl w:val="0"/>
          <w:numId w:val="1001"/>
        </w:numPr>
      </w:pPr>
      <w:r>
        <w:t xml:space="preserve">Only sources cited across ≥5 panels are published (MemeCMO’s own</w:t>
      </w:r>
      <w:r>
        <w:t xml:space="preserve"> </w:t>
      </w:r>
      <w:r>
        <w:t xml:space="preserve">“≥5 clients per published figure”</w:t>
      </w:r>
      <w:r>
        <w:t xml:space="preserve"> </w:t>
      </w:r>
      <w:r>
        <w:t xml:space="preserve">rule). 549 industry-specific sources and 6 brand-owned sites were excluded.</w:t>
      </w:r>
    </w:p>
    <w:p>
      <w:pPr>
        <w:pStyle w:val="Compact"/>
        <w:numPr>
          <w:ilvl w:val="0"/>
          <w:numId w:val="1001"/>
        </w:numPr>
      </w:pPr>
      <w:r>
        <w:t xml:space="preserve">This is not traffic and not an authority score. A citation means the engine chose that page as a source for its answer — which is exactly where a brand needs to be present.</w:t>
      </w:r>
    </w:p>
    <w:p>
      <w:pPr>
        <w:pStyle w:val="Compact"/>
        <w:numPr>
          <w:ilvl w:val="0"/>
          <w:numId w:val="1001"/>
        </w:numPr>
      </w:pPr>
      <w:r>
        <w:t xml:space="preserve">Method per the MemeCMO AI Visibility Measurement Standard v1.0 (clause 9, source index). Data class ③ (citation index), owned by MemeCMO; no client-specific data is in this table.</w:t>
      </w:r>
    </w:p>
    <w:bookmarkEnd w:id="9"/>
    <w:bookmarkStart w:id="10" w:name="how-to-use-it"/>
    <w:p>
      <w:pPr>
        <w:pStyle w:val="Heading2"/>
      </w:pPr>
      <w:r>
        <w:t xml:space="preserve">How to use it</w:t>
      </w:r>
    </w:p>
    <w:p>
      <w:pPr>
        <w:pStyle w:val="Compact"/>
        <w:numPr>
          <w:ilvl w:val="0"/>
          <w:numId w:val="1002"/>
        </w:numPr>
      </w:pPr>
      <w:r>
        <w:t xml:space="preserve">If you sell in Vietnam, the pages on these sites are where AI looks for answers. Being present there matters more than a classic Google ranking.</w:t>
      </w:r>
    </w:p>
    <w:p>
      <w:pPr>
        <w:pStyle w:val="Compact"/>
        <w:numPr>
          <w:ilvl w:val="0"/>
          <w:numId w:val="1002"/>
        </w:numPr>
      </w:pPr>
      <w:r>
        <w:t xml:space="preserve">T1 news: dated PR, interviews, industry data. Document platforms and communities: upload the PDF report, answer real questions. Your own site: structured pages with FAQ and an update date.</w:t>
      </w:r>
    </w:p>
    <w:bookmarkEnd w:id="10"/>
    <w:bookmarkStart w:id="11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What counts as a citation?</w:t>
      </w:r>
    </w:p>
    <w:p>
      <w:pPr>
        <w:pStyle w:val="BodyText"/>
      </w:pPr>
      <w:r>
        <w:t xml:space="preserve">An AI engine returning a link to a page as a source for its answer. We record every such link in every scan, then count answers, not URLs.</w:t>
      </w:r>
    </w:p>
    <w:p>
      <w:pPr>
        <w:pStyle w:val="BodyText"/>
      </w:pPr>
      <w:r>
        <w:rPr>
          <w:b/>
          <w:bCs/>
        </w:rPr>
        <w:t xml:space="preserve">Why are Facebook or YouTube on a list of sources?</w:t>
      </w:r>
    </w:p>
    <w:p>
      <w:pPr>
        <w:pStyle w:val="BodyText"/>
      </w:pPr>
      <w:r>
        <w:t xml:space="preserve">Because the engines really cite them. The list reflects engine behaviour, not our opinion of source quality. The</w:t>
      </w:r>
      <w:r>
        <w:t xml:space="preserve"> </w:t>
      </w:r>
      <w:r>
        <w:t xml:space="preserve">“Type”</w:t>
      </w:r>
      <w:r>
        <w:t xml:space="preserve"> </w:t>
      </w:r>
      <w:r>
        <w:t xml:space="preserve">column separates news from social platforms.</w:t>
      </w:r>
    </w:p>
    <w:p>
      <w:pPr>
        <w:pStyle w:val="BodyText"/>
      </w:pPr>
      <w:r>
        <w:rPr>
          <w:b/>
          <w:bCs/>
        </w:rPr>
        <w:t xml:space="preserve">Why isn’t my industry’s trade site here?</w:t>
      </w:r>
    </w:p>
    <w:p>
      <w:pPr>
        <w:pStyle w:val="BodyText"/>
      </w:pPr>
      <w:r>
        <w:t xml:space="preserve">The public list only includes sources cited across ≥5 panels from several industries. Industry-specific sources appear in each client’s own report and are not published.</w:t>
      </w:r>
    </w:p>
    <w:p>
      <w:pPr>
        <w:pStyle w:val="BodyText"/>
      </w:pPr>
      <w:r>
        <w:rPr>
          <w:b/>
          <w:bCs/>
        </w:rPr>
        <w:t xml:space="preserve">How often is it updated?</w:t>
      </w:r>
    </w:p>
    <w:p>
      <w:pPr>
        <w:pStyle w:val="BodyText"/>
      </w:pPr>
      <w:r>
        <w:t xml:space="preserve">Monthly, on a rolling 60-day window, with the same method and thresholds. Any change of method is declared per clause 11 of the Standard.</w:t>
      </w:r>
    </w:p>
    <w:p>
      <w:pPr>
        <w:pStyle w:val="BodyText"/>
      </w:pPr>
      <w:r>
        <w:rPr>
          <w:b/>
          <w:bCs/>
        </w:rPr>
        <w:t xml:space="preserve">Can I reuse the data?</w:t>
      </w:r>
    </w:p>
    <w:p>
      <w:pPr>
        <w:pStyle w:val="BodyText"/>
      </w:pPr>
      <w:r>
        <w:t xml:space="preserve">Yes. The table is released under CC BY 4.0: use, quote and republish freely with attribution to</w:t>
      </w:r>
      <w:r>
        <w:t xml:space="preserve"> </w:t>
      </w:r>
      <w:r>
        <w:t xml:space="preserve">“MemeCMO — Sources AI engines cite in Vietnam”</w:t>
      </w:r>
      <w:r>
        <w:t xml:space="preserve"> </w:t>
      </w:r>
      <w:r>
        <w:t xml:space="preserve">and a link.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Method: MemeCMO AI Visibility Measurement Standard v1.0 · Data class ③ · CC BY 4.0 · © 2026 MemeCMO Tech Limited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2026-09-23T18:21:51Z</dcterms:created>
  <dcterms:modified xsi:type="dcterms:W3CDTF">2026-09-23T18:21:51Z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