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7715250"/>
            <wp:effectExtent l="0" t="0" r="9525" b="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7715250"/>
            <wp:effectExtent l="0" t="0" r="9525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7715250"/>
            <wp:effectExtent l="0" t="0" r="9525" b="0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7715250"/>
            <wp:effectExtent l="0" t="0" r="9525" b="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7715250"/>
            <wp:effectExtent l="0" t="0" r="9525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875" cy="7715250"/>
            <wp:effectExtent l="0" t="0" r="9525" b="0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6025" cy="3763645"/>
            <wp:effectExtent l="0" t="0" r="9525" b="8255"/>
            <wp:docPr id="3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96005"/>
            <wp:effectExtent l="0" t="0" r="4445" b="4445"/>
            <wp:docPr id="2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300470"/>
            <wp:effectExtent l="0" t="0" r="4445" b="5080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634123D"/>
    <w:rsid w:val="4082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2022-06-07T14:28:00Z</dcterms:created>
  <dc:creator>Administrator</dc:creator>
  <cp:lastModifiedBy>A智诚教育—'monitor13382691831</cp:lastModifiedBy>
  <dcterms:modified xsi:type="dcterms:W3CDTF">2022-06-25T09:20:24Z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E541D5C1599442C4A944858A417D1758</vt:lpwstr>
  </property>
</Properties>
</file>