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0FAE39">
      <w:pPr>
        <w:ind w:firstLine="480"/>
        <w:rPr>
          <w:rFonts w:ascii="宋体" w:hAnsi="宋体"/>
        </w:rPr>
      </w:pPr>
    </w:p>
    <w:p w14:paraId="60A2D7DF">
      <w:pPr>
        <w:ind w:firstLine="480"/>
        <w:rPr>
          <w:rFonts w:ascii="宋体" w:hAnsi="宋体"/>
        </w:rPr>
      </w:pPr>
    </w:p>
    <w:p w14:paraId="691A290D">
      <w:pPr>
        <w:ind w:firstLine="0" w:firstLineChars="0"/>
        <w:jc w:val="center"/>
        <w:rPr>
          <w:rFonts w:ascii="宋体" w:hAnsi="宋体"/>
          <w:b/>
          <w:bCs/>
          <w:sz w:val="72"/>
          <w:szCs w:val="64"/>
        </w:rPr>
      </w:pPr>
      <w:r>
        <w:rPr>
          <w:rFonts w:hint="eastAsia" w:ascii="宋体" w:hAnsi="宋体"/>
          <w:b/>
          <w:bCs/>
          <w:sz w:val="72"/>
          <w:szCs w:val="64"/>
        </w:rPr>
        <w:t>振动测试实验指导书</w:t>
      </w:r>
    </w:p>
    <w:p w14:paraId="0FB81AE7">
      <w:pPr>
        <w:ind w:firstLine="964"/>
        <w:jc w:val="center"/>
        <w:rPr>
          <w:rFonts w:ascii="宋体" w:hAnsi="宋体"/>
          <w:b/>
          <w:bCs/>
          <w:sz w:val="48"/>
          <w:szCs w:val="52"/>
        </w:rPr>
      </w:pPr>
    </w:p>
    <w:p w14:paraId="030AAA34">
      <w:pPr>
        <w:ind w:firstLine="964"/>
        <w:jc w:val="center"/>
        <w:rPr>
          <w:rFonts w:ascii="宋体" w:hAnsi="宋体"/>
          <w:b/>
          <w:bCs/>
          <w:sz w:val="48"/>
          <w:szCs w:val="52"/>
        </w:rPr>
      </w:pPr>
    </w:p>
    <w:p w14:paraId="3F7DE601">
      <w:pPr>
        <w:ind w:firstLine="964"/>
        <w:jc w:val="center"/>
        <w:rPr>
          <w:rFonts w:ascii="宋体" w:hAnsi="宋体"/>
          <w:b/>
          <w:bCs/>
          <w:sz w:val="48"/>
          <w:szCs w:val="52"/>
        </w:rPr>
      </w:pPr>
    </w:p>
    <w:p w14:paraId="218A3F3A">
      <w:pPr>
        <w:ind w:firstLine="964"/>
        <w:jc w:val="center"/>
        <w:rPr>
          <w:rFonts w:ascii="宋体" w:hAnsi="宋体"/>
          <w:b/>
          <w:bCs/>
          <w:sz w:val="48"/>
          <w:szCs w:val="52"/>
        </w:rPr>
      </w:pPr>
    </w:p>
    <w:p w14:paraId="64F7DB04">
      <w:pPr>
        <w:ind w:firstLine="964"/>
        <w:jc w:val="center"/>
        <w:rPr>
          <w:rFonts w:ascii="宋体" w:hAnsi="宋体"/>
          <w:b/>
          <w:bCs/>
          <w:sz w:val="48"/>
          <w:szCs w:val="52"/>
        </w:rPr>
      </w:pPr>
    </w:p>
    <w:p w14:paraId="37F0A669">
      <w:pPr>
        <w:ind w:firstLine="0" w:firstLineChars="0"/>
        <w:jc w:val="center"/>
        <w:rPr>
          <w:rFonts w:ascii="宋体" w:hAnsi="宋体"/>
          <w:b/>
          <w:bCs/>
          <w:sz w:val="48"/>
          <w:szCs w:val="52"/>
        </w:rPr>
      </w:pPr>
      <w:r>
        <w:rPr>
          <w:rFonts w:ascii="宋体" w:hAnsi="宋体"/>
          <w:b/>
          <w:bCs/>
          <w:sz w:val="48"/>
          <w:szCs w:val="52"/>
        </w:rPr>
        <w:drawing>
          <wp:inline distT="0" distB="0" distL="0" distR="0">
            <wp:extent cx="2278380" cy="2252345"/>
            <wp:effectExtent l="19050" t="0" r="7620" b="0"/>
            <wp:docPr id="15"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8380" cy="2252345"/>
                    </a:xfrm>
                    <a:prstGeom prst="rect">
                      <a:avLst/>
                    </a:prstGeom>
                  </pic:spPr>
                </pic:pic>
              </a:graphicData>
            </a:graphic>
          </wp:inline>
        </w:drawing>
      </w:r>
    </w:p>
    <w:p w14:paraId="1D176473">
      <w:pPr>
        <w:ind w:firstLine="0" w:firstLineChars="0"/>
        <w:jc w:val="center"/>
        <w:rPr>
          <w:rFonts w:ascii="宋体" w:hAnsi="宋体"/>
          <w:b/>
          <w:bCs/>
          <w:sz w:val="48"/>
          <w:szCs w:val="52"/>
        </w:rPr>
      </w:pPr>
    </w:p>
    <w:p w14:paraId="43FBB09F">
      <w:pPr>
        <w:ind w:firstLine="0" w:firstLineChars="0"/>
        <w:jc w:val="center"/>
        <w:rPr>
          <w:rFonts w:ascii="宋体" w:hAnsi="宋体"/>
          <w:b/>
          <w:bCs/>
          <w:sz w:val="44"/>
          <w:szCs w:val="44"/>
        </w:rPr>
      </w:pPr>
      <w:r>
        <w:rPr>
          <w:rFonts w:hint="eastAsia" w:ascii="宋体" w:hAnsi="宋体"/>
          <w:b/>
          <w:bCs/>
          <w:sz w:val="44"/>
          <w:szCs w:val="44"/>
        </w:rPr>
        <w:t>浙江大学机械工程学院</w:t>
      </w:r>
    </w:p>
    <w:p w14:paraId="306B717A">
      <w:pPr>
        <w:ind w:firstLine="0" w:firstLineChars="0"/>
        <w:jc w:val="center"/>
        <w:rPr>
          <w:rFonts w:ascii="宋体" w:hAnsi="宋体"/>
          <w:b/>
          <w:bCs/>
          <w:sz w:val="48"/>
          <w:szCs w:val="52"/>
        </w:rPr>
      </w:pPr>
      <w:r>
        <w:rPr>
          <w:rFonts w:hint="eastAsia" w:ascii="宋体" w:hAnsi="宋体"/>
          <w:b/>
          <w:bCs/>
          <w:sz w:val="44"/>
          <w:szCs w:val="44"/>
        </w:rPr>
        <w:t>实验教学中心</w:t>
      </w:r>
    </w:p>
    <w:p w14:paraId="1C9C8FA1">
      <w:pPr>
        <w:widowControl/>
        <w:spacing w:before="163" w:beforeLines="50" w:after="163" w:afterLines="50" w:line="240" w:lineRule="auto"/>
        <w:ind w:firstLine="0" w:firstLineChars="0"/>
        <w:jc w:val="center"/>
        <w:rPr>
          <w:rFonts w:ascii="宋体" w:hAnsi="宋体"/>
          <w:b/>
          <w:bCs/>
          <w:sz w:val="44"/>
          <w:szCs w:val="44"/>
        </w:rPr>
      </w:pPr>
    </w:p>
    <w:p w14:paraId="7A172B3A">
      <w:pPr>
        <w:widowControl/>
        <w:spacing w:before="163" w:beforeLines="50" w:after="163" w:afterLines="50" w:line="240" w:lineRule="auto"/>
        <w:ind w:firstLine="0" w:firstLineChars="0"/>
        <w:jc w:val="center"/>
        <w:rPr>
          <w:rFonts w:ascii="宋体" w:hAnsi="宋体"/>
          <w:b/>
          <w:bCs/>
          <w:sz w:val="44"/>
          <w:szCs w:val="44"/>
        </w:rPr>
      </w:pPr>
      <w:r>
        <w:rPr>
          <w:rFonts w:ascii="宋体" w:hAnsi="宋体"/>
          <w:b/>
          <w:bCs/>
          <w:sz w:val="44"/>
          <w:szCs w:val="44"/>
        </w:rPr>
        <w:br w:type="page"/>
      </w:r>
    </w:p>
    <w:p w14:paraId="51AB1C38">
      <w:pPr>
        <w:widowControl/>
        <w:spacing w:before="163" w:beforeLines="50" w:after="163" w:afterLines="50" w:line="240" w:lineRule="auto"/>
        <w:ind w:firstLine="0" w:firstLineChars="0"/>
        <w:jc w:val="center"/>
        <w:rPr>
          <w:rFonts w:ascii="宋体" w:hAnsi="宋体"/>
          <w:b/>
          <w:bCs/>
          <w:sz w:val="44"/>
          <w:szCs w:val="44"/>
        </w:rPr>
      </w:pPr>
    </w:p>
    <w:p w14:paraId="507AD5F1">
      <w:pPr>
        <w:widowControl/>
        <w:spacing w:before="163" w:beforeLines="50" w:after="326" w:afterLines="100" w:line="240" w:lineRule="auto"/>
        <w:ind w:firstLine="0" w:firstLineChars="0"/>
        <w:jc w:val="center"/>
        <w:rPr>
          <w:rFonts w:ascii="宋体" w:hAnsi="宋体"/>
          <w:b/>
          <w:bCs/>
          <w:sz w:val="44"/>
          <w:szCs w:val="44"/>
        </w:rPr>
      </w:pPr>
      <w:r>
        <w:rPr>
          <w:rFonts w:hint="eastAsia" w:ascii="宋体" w:hAnsi="宋体"/>
          <w:b/>
          <w:bCs/>
          <w:sz w:val="44"/>
          <w:szCs w:val="44"/>
        </w:rPr>
        <w:t>安全注意事项</w:t>
      </w:r>
    </w:p>
    <w:p w14:paraId="3E6D8547">
      <w:pPr>
        <w:pStyle w:val="15"/>
        <w:ind w:firstLine="480"/>
      </w:pPr>
      <w:r>
        <w:rPr>
          <w:rFonts w:hint="eastAsia"/>
        </w:rPr>
        <w:t>本实验台尽管在设计上已充分考虑了安全方面的问题，但强烈建议用户使用时注意以下事项：</w:t>
      </w:r>
    </w:p>
    <w:p w14:paraId="0B9E1FEA">
      <w:pPr>
        <w:pStyle w:val="15"/>
        <w:numPr>
          <w:ilvl w:val="0"/>
          <w:numId w:val="1"/>
        </w:numPr>
        <w:ind w:firstLineChars="0"/>
      </w:pPr>
      <w:r>
        <w:rPr>
          <w:rFonts w:hint="eastAsia"/>
        </w:rPr>
        <w:t>实验台应保持水平放置，转轴垂直于离人最近的桌面边缘，人可以正视转速表，转子的切线方向不站人。</w:t>
      </w:r>
    </w:p>
    <w:p w14:paraId="2C17B73B">
      <w:pPr>
        <w:pStyle w:val="15"/>
        <w:numPr>
          <w:ilvl w:val="0"/>
          <w:numId w:val="1"/>
        </w:numPr>
        <w:ind w:firstLineChars="0"/>
      </w:pPr>
      <w:r>
        <w:rPr>
          <w:rFonts w:hint="eastAsia"/>
        </w:rPr>
        <w:t>通电前仔细检查各活动机械部件，如电机、联轴器、轴承座、悬臂梁等的连接紧固情况，确保所有螺栓紧固。</w:t>
      </w:r>
    </w:p>
    <w:p w14:paraId="5F28786B">
      <w:pPr>
        <w:pStyle w:val="15"/>
        <w:numPr>
          <w:ilvl w:val="0"/>
          <w:numId w:val="1"/>
        </w:numPr>
        <w:ind w:firstLineChars="0"/>
      </w:pPr>
      <w:r>
        <w:rPr>
          <w:rFonts w:hint="eastAsia"/>
        </w:rPr>
        <w:t>查看采集仪、传感器连线正确无误。</w:t>
      </w:r>
    </w:p>
    <w:p w14:paraId="609F6E88">
      <w:pPr>
        <w:pStyle w:val="15"/>
        <w:numPr>
          <w:ilvl w:val="0"/>
          <w:numId w:val="1"/>
        </w:numPr>
        <w:ind w:firstLineChars="0"/>
        <w:rPr>
          <w:rFonts w:hint="eastAsia"/>
        </w:rPr>
      </w:pPr>
      <w:r>
        <w:rPr>
          <w:rFonts w:hint="eastAsia"/>
        </w:rPr>
        <w:t>使用过程中确保传感器适配器供电电压挡位正确，才可通电。使用过程中不可随意改变传感器适配器旋钮位置，以免损坏传感器。</w:t>
      </w:r>
    </w:p>
    <w:p w14:paraId="5260162D">
      <w:pPr>
        <w:pStyle w:val="15"/>
        <w:numPr>
          <w:ilvl w:val="0"/>
          <w:numId w:val="1"/>
        </w:numPr>
        <w:ind w:firstLineChars="0"/>
      </w:pPr>
      <w:r>
        <w:rPr>
          <w:rFonts w:hint="eastAsia"/>
        </w:rPr>
        <w:t>检查各设备电源线是否插紧插好，各仪器是否可靠接地，以防触电。</w:t>
      </w:r>
    </w:p>
    <w:p w14:paraId="29DF29B9">
      <w:pPr>
        <w:pStyle w:val="15"/>
        <w:numPr>
          <w:ilvl w:val="0"/>
          <w:numId w:val="1"/>
        </w:numPr>
        <w:ind w:firstLineChars="0"/>
      </w:pPr>
      <w:r>
        <w:rPr>
          <w:rFonts w:hint="eastAsia"/>
        </w:rPr>
        <w:t>电机工作时，禁止头凑近查看、禁止手或其它物品碰到转动部位，以免受伤或物品飞落。</w:t>
      </w:r>
    </w:p>
    <w:p w14:paraId="14C4923B">
      <w:pPr>
        <w:pStyle w:val="15"/>
        <w:numPr>
          <w:ilvl w:val="0"/>
          <w:numId w:val="1"/>
        </w:numPr>
        <w:ind w:firstLineChars="0"/>
        <w:rPr>
          <w:rFonts w:hint="eastAsia"/>
        </w:rPr>
      </w:pPr>
      <w:r>
        <w:rPr>
          <w:rFonts w:hint="eastAsia"/>
        </w:rPr>
        <w:t>所有仪器设备工作过程中发现异常应立即断电，并请专业人员检查维修。</w:t>
      </w:r>
    </w:p>
    <w:p w14:paraId="14110A84">
      <w:pPr>
        <w:pStyle w:val="15"/>
        <w:numPr>
          <w:ilvl w:val="0"/>
          <w:numId w:val="1"/>
        </w:numPr>
        <w:ind w:firstLineChars="0"/>
        <w:rPr>
          <w:b/>
        </w:rPr>
      </w:pPr>
      <w:r>
        <w:rPr>
          <w:rFonts w:hint="eastAsia"/>
          <w:b/>
        </w:rPr>
        <w:t>检查电机调速旋钮，确保旋钮已</w:t>
      </w:r>
      <w:r>
        <w:rPr>
          <w:rFonts w:hint="eastAsia"/>
          <w:b/>
          <w:color w:val="FF0000"/>
        </w:rPr>
        <w:t>逆时针拧到底</w:t>
      </w:r>
      <w:r>
        <w:rPr>
          <w:rFonts w:hint="eastAsia"/>
          <w:b/>
        </w:rPr>
        <w:t>，经检查无误后才能通电。</w:t>
      </w:r>
    </w:p>
    <w:p w14:paraId="5657A086">
      <w:pPr>
        <w:pStyle w:val="15"/>
        <w:numPr>
          <w:ilvl w:val="0"/>
          <w:numId w:val="1"/>
        </w:numPr>
        <w:ind w:firstLineChars="0"/>
        <w:rPr>
          <w:b/>
        </w:rPr>
      </w:pPr>
      <w:r>
        <w:rPr>
          <w:rFonts w:hint="eastAsia"/>
          <w:b/>
        </w:rPr>
        <w:t>实验时，需要慢慢调整电机的转速旋钮，且最大转速</w:t>
      </w:r>
      <w:r>
        <w:rPr>
          <w:rFonts w:hint="eastAsia"/>
          <w:b/>
          <w:color w:val="FF0000"/>
        </w:rPr>
        <w:t>不超过6</w:t>
      </w:r>
      <w:r>
        <w:rPr>
          <w:b/>
          <w:color w:val="FF0000"/>
        </w:rPr>
        <w:t>000</w:t>
      </w:r>
      <w:r>
        <w:rPr>
          <w:rFonts w:hint="eastAsia"/>
          <w:b/>
          <w:color w:val="FF0000"/>
        </w:rPr>
        <w:t xml:space="preserve"> RPM</w:t>
      </w:r>
      <w:r>
        <w:rPr>
          <w:rFonts w:hint="eastAsia"/>
          <w:b/>
        </w:rPr>
        <w:t>。</w:t>
      </w:r>
    </w:p>
    <w:p w14:paraId="3DFEE43A">
      <w:pPr>
        <w:pStyle w:val="15"/>
        <w:numPr>
          <w:ilvl w:val="0"/>
          <w:numId w:val="1"/>
        </w:numPr>
        <w:ind w:firstLineChars="0"/>
        <w:rPr>
          <w:b/>
        </w:rPr>
      </w:pPr>
      <w:r>
        <w:rPr>
          <w:rFonts w:hint="eastAsia"/>
          <w:b/>
        </w:rPr>
        <w:t>实验结束后，</w:t>
      </w:r>
      <w:r>
        <w:rPr>
          <w:rFonts w:hint="eastAsia"/>
          <w:b/>
          <w:color w:val="FF0000"/>
        </w:rPr>
        <w:t>电机旋钮归零</w:t>
      </w:r>
      <w:r>
        <w:rPr>
          <w:rFonts w:hint="eastAsia"/>
          <w:b/>
        </w:rPr>
        <w:t>，拔掉电源。退出软件，并关闭数据采集仪。</w:t>
      </w:r>
    </w:p>
    <w:p w14:paraId="3FE4F651">
      <w:pPr>
        <w:pStyle w:val="15"/>
        <w:ind w:left="720" w:firstLine="0" w:firstLineChars="0"/>
        <w:rPr>
          <w:rFonts w:hint="eastAsia"/>
        </w:rPr>
      </w:pPr>
    </w:p>
    <w:p w14:paraId="2472C4D3">
      <w:pPr>
        <w:pStyle w:val="15"/>
        <w:ind w:firstLine="0" w:firstLineChars="0"/>
      </w:pPr>
    </w:p>
    <w:p w14:paraId="17D87F0C">
      <w:pPr>
        <w:widowControl/>
        <w:spacing w:line="240" w:lineRule="auto"/>
        <w:ind w:firstLine="0" w:firstLineChars="0"/>
        <w:jc w:val="left"/>
        <w:rPr>
          <w:rFonts w:ascii="宋体" w:hAnsi="宋体"/>
          <w:b/>
          <w:bCs/>
          <w:sz w:val="44"/>
          <w:szCs w:val="44"/>
        </w:rPr>
      </w:pPr>
      <w:r>
        <w:rPr>
          <w:rFonts w:ascii="宋体" w:hAnsi="宋体"/>
          <w:b/>
          <w:bCs/>
          <w:sz w:val="44"/>
          <w:szCs w:val="44"/>
        </w:rPr>
        <w:br w:type="page"/>
      </w:r>
    </w:p>
    <w:p w14:paraId="32CE2324">
      <w:pPr>
        <w:widowControl/>
        <w:spacing w:line="240" w:lineRule="auto"/>
        <w:ind w:firstLine="0" w:firstLineChars="0"/>
        <w:jc w:val="left"/>
        <w:rPr>
          <w:rFonts w:ascii="宋体" w:hAnsi="宋体"/>
          <w:b/>
          <w:bCs/>
          <w:sz w:val="44"/>
          <w:szCs w:val="44"/>
        </w:rPr>
      </w:pPr>
    </w:p>
    <w:sdt>
      <w:sdtPr>
        <w:rPr>
          <w:rFonts w:hint="eastAsia" w:ascii="宋体" w:hAnsi="宋体"/>
          <w:b/>
          <w:bCs/>
          <w:sz w:val="44"/>
          <w:szCs w:val="44"/>
        </w:rPr>
        <w:id w:val="147461236"/>
        <w:docPartObj>
          <w:docPartGallery w:val="Table of Contents"/>
          <w:docPartUnique/>
        </w:docPartObj>
      </w:sdtPr>
      <w:sdtEndPr>
        <w:rPr>
          <w:rFonts w:hint="eastAsia" w:ascii="宋体" w:hAnsi="宋体"/>
          <w:b/>
          <w:bCs/>
          <w:sz w:val="24"/>
          <w:szCs w:val="44"/>
        </w:rPr>
      </w:sdtEndPr>
      <w:sdtContent>
        <w:p w14:paraId="6A6F0074">
          <w:pPr>
            <w:widowControl/>
            <w:spacing w:before="163" w:beforeLines="50" w:after="326" w:afterLines="100" w:line="240" w:lineRule="auto"/>
            <w:ind w:firstLine="0" w:firstLineChars="0"/>
            <w:jc w:val="center"/>
            <w:rPr>
              <w:rFonts w:ascii="宋体" w:hAnsi="宋体"/>
              <w:b/>
              <w:bCs/>
              <w:sz w:val="44"/>
              <w:szCs w:val="44"/>
            </w:rPr>
          </w:pPr>
          <w:r>
            <w:rPr>
              <w:rFonts w:hint="eastAsia" w:ascii="宋体" w:hAnsi="宋体"/>
              <w:b/>
              <w:bCs/>
              <w:sz w:val="44"/>
              <w:szCs w:val="44"/>
            </w:rPr>
            <w:t>目录</w:t>
          </w:r>
        </w:p>
        <w:p w14:paraId="73AD7FCF">
          <w:pPr>
            <w:pStyle w:val="24"/>
            <w:tabs>
              <w:tab w:val="right" w:leader="dot" w:pos="8312"/>
            </w:tabs>
            <w:rPr>
              <w:sz w:val="24"/>
              <w:szCs w:val="24"/>
            </w:rPr>
          </w:pPr>
          <w:r>
            <w:rPr>
              <w:rFonts w:ascii="宋体" w:hAnsi="宋体"/>
              <w:b/>
              <w:bCs/>
              <w:sz w:val="44"/>
              <w:szCs w:val="44"/>
            </w:rPr>
            <w:fldChar w:fldCharType="begin"/>
          </w:r>
          <w:r>
            <w:rPr>
              <w:rFonts w:ascii="宋体" w:hAnsi="宋体"/>
              <w:b/>
              <w:bCs/>
              <w:sz w:val="44"/>
              <w:szCs w:val="44"/>
            </w:rPr>
            <w:instrText xml:space="preserve">TOC \o "1-1" \h \u </w:instrText>
          </w:r>
          <w:r>
            <w:rPr>
              <w:rFonts w:ascii="宋体" w:hAnsi="宋体"/>
              <w:b/>
              <w:bCs/>
              <w:sz w:val="44"/>
              <w:szCs w:val="44"/>
            </w:rPr>
            <w:fldChar w:fldCharType="separate"/>
          </w:r>
          <w:r>
            <w:fldChar w:fldCharType="begin"/>
          </w:r>
          <w:r>
            <w:instrText xml:space="preserve"> HYPERLINK \l "_Toc15284" </w:instrText>
          </w:r>
          <w:r>
            <w:fldChar w:fldCharType="separate"/>
          </w:r>
          <w:r>
            <w:rPr>
              <w:rFonts w:hint="eastAsia"/>
              <w:sz w:val="24"/>
              <w:szCs w:val="24"/>
            </w:rPr>
            <w:t>实验一 电机转子转速测试及悬臂梁共振现象分析实验</w:t>
          </w:r>
          <w:r>
            <w:rPr>
              <w:sz w:val="24"/>
              <w:szCs w:val="24"/>
            </w:rPr>
            <w:tab/>
          </w:r>
          <w:r>
            <w:rPr>
              <w:sz w:val="24"/>
              <w:szCs w:val="24"/>
            </w:rPr>
            <w:fldChar w:fldCharType="begin"/>
          </w:r>
          <w:r>
            <w:rPr>
              <w:sz w:val="24"/>
              <w:szCs w:val="24"/>
            </w:rPr>
            <w:instrText xml:space="preserve"> PAGEREF _Toc15284 \h </w:instrText>
          </w:r>
          <w:r>
            <w:rPr>
              <w:sz w:val="24"/>
              <w:szCs w:val="24"/>
            </w:rPr>
            <w:fldChar w:fldCharType="separate"/>
          </w:r>
          <w:r>
            <w:rPr>
              <w:sz w:val="24"/>
              <w:szCs w:val="24"/>
            </w:rPr>
            <w:t>4</w:t>
          </w:r>
          <w:r>
            <w:rPr>
              <w:sz w:val="24"/>
              <w:szCs w:val="24"/>
            </w:rPr>
            <w:fldChar w:fldCharType="end"/>
          </w:r>
          <w:r>
            <w:rPr>
              <w:sz w:val="24"/>
              <w:szCs w:val="24"/>
            </w:rPr>
            <w:fldChar w:fldCharType="end"/>
          </w:r>
        </w:p>
        <w:p w14:paraId="75CC109C">
          <w:pPr>
            <w:pStyle w:val="24"/>
            <w:tabs>
              <w:tab w:val="right" w:leader="dot" w:pos="8312"/>
            </w:tabs>
            <w:rPr>
              <w:sz w:val="24"/>
              <w:szCs w:val="24"/>
            </w:rPr>
          </w:pPr>
          <w:r>
            <w:fldChar w:fldCharType="begin"/>
          </w:r>
          <w:r>
            <w:instrText xml:space="preserve"> HYPERLINK \l "_Toc26171" </w:instrText>
          </w:r>
          <w:r>
            <w:fldChar w:fldCharType="separate"/>
          </w:r>
          <w:r>
            <w:rPr>
              <w:rFonts w:hint="eastAsia"/>
              <w:sz w:val="24"/>
              <w:szCs w:val="24"/>
            </w:rPr>
            <w:t>实验二 附加质量、材质对悬臂梁固有频率的影响</w:t>
          </w:r>
          <w:r>
            <w:rPr>
              <w:sz w:val="24"/>
              <w:szCs w:val="24"/>
            </w:rPr>
            <w:tab/>
          </w:r>
          <w:r>
            <w:rPr>
              <w:sz w:val="24"/>
              <w:szCs w:val="24"/>
            </w:rPr>
            <w:fldChar w:fldCharType="begin"/>
          </w:r>
          <w:r>
            <w:rPr>
              <w:sz w:val="24"/>
              <w:szCs w:val="24"/>
            </w:rPr>
            <w:instrText xml:space="preserve"> PAGEREF _Toc26171 \h </w:instrText>
          </w:r>
          <w:r>
            <w:rPr>
              <w:sz w:val="24"/>
              <w:szCs w:val="24"/>
            </w:rPr>
            <w:fldChar w:fldCharType="separate"/>
          </w:r>
          <w:r>
            <w:rPr>
              <w:sz w:val="24"/>
              <w:szCs w:val="24"/>
            </w:rPr>
            <w:t>18</w:t>
          </w:r>
          <w:r>
            <w:rPr>
              <w:sz w:val="24"/>
              <w:szCs w:val="24"/>
            </w:rPr>
            <w:fldChar w:fldCharType="end"/>
          </w:r>
          <w:r>
            <w:rPr>
              <w:sz w:val="24"/>
              <w:szCs w:val="24"/>
            </w:rPr>
            <w:fldChar w:fldCharType="end"/>
          </w:r>
        </w:p>
        <w:p w14:paraId="00D77B9B">
          <w:pPr>
            <w:pStyle w:val="24"/>
            <w:tabs>
              <w:tab w:val="right" w:leader="dot" w:pos="8312"/>
            </w:tabs>
            <w:rPr>
              <w:sz w:val="24"/>
              <w:szCs w:val="24"/>
            </w:rPr>
          </w:pPr>
          <w:r>
            <w:fldChar w:fldCharType="begin"/>
          </w:r>
          <w:r>
            <w:instrText xml:space="preserve"> HYPERLINK \l "_Toc12674" </w:instrText>
          </w:r>
          <w:r>
            <w:fldChar w:fldCharType="separate"/>
          </w:r>
          <w:r>
            <w:rPr>
              <w:rFonts w:hint="eastAsia"/>
              <w:sz w:val="24"/>
              <w:szCs w:val="24"/>
            </w:rPr>
            <w:t>实验三 信号采集和混迭现象分析实验</w:t>
          </w:r>
          <w:r>
            <w:rPr>
              <w:sz w:val="24"/>
              <w:szCs w:val="24"/>
            </w:rPr>
            <w:tab/>
          </w:r>
          <w:r>
            <w:rPr>
              <w:sz w:val="24"/>
              <w:szCs w:val="24"/>
            </w:rPr>
            <w:fldChar w:fldCharType="begin"/>
          </w:r>
          <w:r>
            <w:rPr>
              <w:sz w:val="24"/>
              <w:szCs w:val="24"/>
            </w:rPr>
            <w:instrText xml:space="preserve"> PAGEREF _Toc12674 \h </w:instrText>
          </w:r>
          <w:r>
            <w:rPr>
              <w:sz w:val="24"/>
              <w:szCs w:val="24"/>
            </w:rPr>
            <w:fldChar w:fldCharType="separate"/>
          </w:r>
          <w:r>
            <w:rPr>
              <w:sz w:val="24"/>
              <w:szCs w:val="24"/>
            </w:rPr>
            <w:t>44</w:t>
          </w:r>
          <w:r>
            <w:rPr>
              <w:sz w:val="24"/>
              <w:szCs w:val="24"/>
            </w:rPr>
            <w:fldChar w:fldCharType="end"/>
          </w:r>
          <w:r>
            <w:rPr>
              <w:sz w:val="24"/>
              <w:szCs w:val="24"/>
            </w:rPr>
            <w:fldChar w:fldCharType="end"/>
          </w:r>
        </w:p>
        <w:p w14:paraId="1173862D">
          <w:pPr>
            <w:ind w:firstLine="0" w:firstLineChars="0"/>
            <w:rPr>
              <w:rFonts w:ascii="宋体" w:hAnsi="宋体"/>
              <w:b/>
              <w:bCs/>
              <w:sz w:val="44"/>
              <w:szCs w:val="44"/>
            </w:rPr>
          </w:pPr>
          <w:r>
            <w:rPr>
              <w:rFonts w:ascii="宋体" w:hAnsi="宋体"/>
              <w:bCs/>
              <w:szCs w:val="44"/>
            </w:rPr>
            <w:fldChar w:fldCharType="end"/>
          </w:r>
        </w:p>
      </w:sdtContent>
    </w:sdt>
    <w:p w14:paraId="1028D0F9">
      <w:pPr>
        <w:widowControl/>
        <w:ind w:firstLine="883"/>
        <w:jc w:val="left"/>
        <w:rPr>
          <w:rFonts w:ascii="宋体" w:hAnsi="宋体"/>
          <w:b/>
          <w:bCs/>
          <w:sz w:val="44"/>
          <w:szCs w:val="44"/>
        </w:rPr>
      </w:pPr>
      <w:r>
        <w:rPr>
          <w:rFonts w:ascii="宋体" w:hAnsi="宋体"/>
          <w:b/>
          <w:bCs/>
          <w:sz w:val="44"/>
          <w:szCs w:val="44"/>
        </w:rPr>
        <w:br w:type="page"/>
      </w:r>
    </w:p>
    <w:p w14:paraId="58722148">
      <w:pPr>
        <w:pStyle w:val="2"/>
      </w:pPr>
      <w:bookmarkStart w:id="0" w:name="_Toc15284"/>
      <w:r>
        <w:rPr>
          <w:rFonts w:hint="eastAsia"/>
        </w:rPr>
        <w:t>实验一 电机转子转速测试及悬臂梁共振现象分析实验</w:t>
      </w:r>
      <w:bookmarkEnd w:id="0"/>
    </w:p>
    <w:p w14:paraId="6ECBE663">
      <w:pPr>
        <w:pStyle w:val="15"/>
        <w:numPr>
          <w:ilvl w:val="0"/>
          <w:numId w:val="2"/>
        </w:numPr>
        <w:ind w:left="425" w:hanging="431" w:firstLineChars="0"/>
        <w:outlineLvl w:val="1"/>
        <w:rPr>
          <w:b/>
          <w:bCs/>
        </w:rPr>
      </w:pPr>
      <w:r>
        <w:rPr>
          <w:rFonts w:hint="eastAsia"/>
          <w:b/>
          <w:bCs/>
        </w:rPr>
        <w:t>实验目的</w:t>
      </w:r>
    </w:p>
    <w:p w14:paraId="76F87D89">
      <w:pPr>
        <w:pStyle w:val="15"/>
        <w:numPr>
          <w:ilvl w:val="0"/>
          <w:numId w:val="3"/>
        </w:numPr>
        <w:ind w:left="851" w:firstLineChars="0"/>
      </w:pPr>
      <w:r>
        <w:rPr>
          <w:rFonts w:hint="eastAsia"/>
        </w:rPr>
        <w:t>并掌握电机启动运行及相关调速技巧；</w:t>
      </w:r>
    </w:p>
    <w:p w14:paraId="4E09DB0C">
      <w:pPr>
        <w:pStyle w:val="15"/>
        <w:numPr>
          <w:ilvl w:val="0"/>
          <w:numId w:val="3"/>
        </w:numPr>
        <w:ind w:left="851" w:firstLineChars="0"/>
      </w:pPr>
      <w:r>
        <w:rPr>
          <w:rFonts w:hint="eastAsia"/>
        </w:rPr>
        <w:t>掌握位移传感器的安装及拾取振动量级的方法；</w:t>
      </w:r>
    </w:p>
    <w:p w14:paraId="3F231359">
      <w:pPr>
        <w:pStyle w:val="15"/>
        <w:numPr>
          <w:ilvl w:val="0"/>
          <w:numId w:val="3"/>
        </w:numPr>
        <w:ind w:left="851" w:firstLineChars="0"/>
      </w:pPr>
      <w:r>
        <w:rPr>
          <w:rFonts w:hint="eastAsia"/>
        </w:rPr>
        <w:t>掌握光电式测转速传感器的原理及使用方法；</w:t>
      </w:r>
    </w:p>
    <w:p w14:paraId="397D92ED">
      <w:pPr>
        <w:pStyle w:val="15"/>
        <w:numPr>
          <w:ilvl w:val="0"/>
          <w:numId w:val="3"/>
        </w:numPr>
        <w:ind w:left="851" w:firstLineChars="0"/>
      </w:pPr>
      <w:r>
        <w:rPr>
          <w:rFonts w:hint="eastAsia"/>
        </w:rPr>
        <w:t>掌握使用数据采集仪测量和记录悬臂梁振动信号的波形和频谱；</w:t>
      </w:r>
    </w:p>
    <w:p w14:paraId="2DD22CDB">
      <w:pPr>
        <w:pStyle w:val="15"/>
        <w:numPr>
          <w:ilvl w:val="0"/>
          <w:numId w:val="3"/>
        </w:numPr>
        <w:ind w:left="851" w:firstLineChars="0"/>
      </w:pPr>
      <w:r>
        <w:rPr>
          <w:rFonts w:hint="eastAsia"/>
        </w:rPr>
        <w:t>了解改变转子实验台转速后，悬臂梁出现的共振现象，观察振动信号、频谱的变化规律。</w:t>
      </w:r>
    </w:p>
    <w:p w14:paraId="38FB5512">
      <w:pPr>
        <w:pStyle w:val="15"/>
        <w:numPr>
          <w:ilvl w:val="0"/>
          <w:numId w:val="2"/>
        </w:numPr>
        <w:ind w:left="425" w:hanging="431" w:firstLineChars="0"/>
        <w:outlineLvl w:val="1"/>
        <w:rPr>
          <w:b/>
          <w:bCs/>
        </w:rPr>
      </w:pPr>
      <w:r>
        <w:rPr>
          <w:rFonts w:hint="eastAsia"/>
          <w:b/>
          <w:bCs/>
        </w:rPr>
        <w:t>注意事项</w:t>
      </w:r>
    </w:p>
    <w:p w14:paraId="55466A2A">
      <w:pPr>
        <w:pStyle w:val="15"/>
        <w:numPr>
          <w:ilvl w:val="0"/>
          <w:numId w:val="4"/>
        </w:numPr>
        <w:ind w:left="851" w:firstLineChars="0"/>
      </w:pPr>
      <w:r>
        <w:rPr>
          <w:rFonts w:hint="eastAsia"/>
          <w:b/>
        </w:rPr>
        <w:t>检查电机调速旋钮，确保旋钮已</w:t>
      </w:r>
      <w:r>
        <w:rPr>
          <w:rFonts w:hint="eastAsia"/>
          <w:b/>
          <w:color w:val="FF0000"/>
        </w:rPr>
        <w:t>逆时针拧到底</w:t>
      </w:r>
      <w:r>
        <w:rPr>
          <w:rFonts w:hint="eastAsia"/>
          <w:b/>
        </w:rPr>
        <w:t>，经检查无误后才能通电。</w:t>
      </w:r>
    </w:p>
    <w:p w14:paraId="77313635">
      <w:pPr>
        <w:pStyle w:val="15"/>
        <w:numPr>
          <w:ilvl w:val="0"/>
          <w:numId w:val="4"/>
        </w:numPr>
        <w:ind w:left="851" w:firstLineChars="0"/>
      </w:pPr>
      <w:r>
        <w:rPr>
          <w:rFonts w:hint="eastAsia"/>
        </w:rPr>
        <w:t>实验时，需要慢慢调整电机的转速旋钮，且</w:t>
      </w:r>
      <w:r>
        <w:rPr>
          <w:rFonts w:hint="eastAsia"/>
          <w:b/>
          <w:color w:val="FF0000"/>
        </w:rPr>
        <w:t>最大转速不超过6</w:t>
      </w:r>
      <w:r>
        <w:rPr>
          <w:b/>
          <w:color w:val="FF0000"/>
        </w:rPr>
        <w:t>000</w:t>
      </w:r>
      <w:r>
        <w:rPr>
          <w:rFonts w:hint="eastAsia"/>
          <w:b/>
          <w:color w:val="FF0000"/>
        </w:rPr>
        <w:t xml:space="preserve"> RPM</w:t>
      </w:r>
      <w:r>
        <w:rPr>
          <w:rFonts w:hint="eastAsia"/>
        </w:rPr>
        <w:t>。</w:t>
      </w:r>
    </w:p>
    <w:p w14:paraId="6D7CFA89">
      <w:pPr>
        <w:pStyle w:val="15"/>
        <w:numPr>
          <w:ilvl w:val="0"/>
          <w:numId w:val="4"/>
        </w:numPr>
        <w:ind w:left="851" w:firstLineChars="0"/>
        <w:rPr>
          <w:rFonts w:hint="eastAsia"/>
        </w:rPr>
      </w:pPr>
      <w:r>
        <w:rPr>
          <w:rFonts w:hint="eastAsia"/>
          <w:color w:val="FF0000"/>
        </w:rPr>
        <w:t>实验结束后，电机旋钮归零，拔掉电源</w:t>
      </w:r>
      <w:r>
        <w:rPr>
          <w:rFonts w:hint="eastAsia"/>
        </w:rPr>
        <w:t>。退出软件，并关闭数据采集仪。</w:t>
      </w:r>
    </w:p>
    <w:p w14:paraId="050B6CD7">
      <w:pPr>
        <w:pStyle w:val="15"/>
        <w:numPr>
          <w:ilvl w:val="0"/>
          <w:numId w:val="2"/>
        </w:numPr>
        <w:ind w:left="425" w:hanging="431" w:firstLineChars="0"/>
        <w:outlineLvl w:val="1"/>
        <w:rPr>
          <w:b/>
          <w:bCs/>
        </w:rPr>
      </w:pPr>
      <w:r>
        <w:rPr>
          <w:rFonts w:hint="eastAsia"/>
          <w:b/>
          <w:bCs/>
        </w:rPr>
        <w:t>实验原理</w:t>
      </w:r>
    </w:p>
    <w:p w14:paraId="6E19D1D8">
      <w:pPr>
        <w:pStyle w:val="15"/>
        <w:numPr>
          <w:ilvl w:val="0"/>
          <w:numId w:val="5"/>
        </w:numPr>
        <w:ind w:left="851" w:firstLineChars="0"/>
      </w:pPr>
      <w:r>
        <w:rPr>
          <w:rFonts w:hint="eastAsia"/>
        </w:rPr>
        <w:t>振动测量</w:t>
      </w:r>
    </w:p>
    <w:p w14:paraId="546F6FD8">
      <w:pPr>
        <w:pStyle w:val="15"/>
        <w:ind w:firstLine="480"/>
      </w:pPr>
      <w:r>
        <w:rPr>
          <w:rFonts w:hint="eastAsia"/>
        </w:rPr>
        <w:t>机械在运动时，由于旋转件的不平衡、负载的不均匀、机构刚度的各向异性、间隙、润滑不良、支撑松动等因素，总是伴随着各种振动。</w:t>
      </w:r>
    </w:p>
    <w:p w14:paraId="57567C26">
      <w:pPr>
        <w:pStyle w:val="15"/>
        <w:ind w:firstLine="480"/>
      </w:pPr>
      <w:r>
        <w:rPr>
          <w:rFonts w:hint="eastAsia"/>
        </w:rPr>
        <w:t>机械振动在大多数情况下是有害的，振动往往会降低机械性能，破坏其正常工作，缩短使用寿命，甚至导致事故。机械振动还伴随着同频率的噪声，恶化环境，危害健康。另一方面，振动也被利用来完成有益的工作，如运输、夯实、清洗、粉碎、脱水等。这时必需正确选择振动参数，充分发挥振动机械的性能。</w:t>
      </w:r>
    </w:p>
    <w:p w14:paraId="4684AE5E">
      <w:pPr>
        <w:pStyle w:val="15"/>
        <w:ind w:firstLine="480"/>
      </w:pPr>
      <w:r>
        <w:rPr>
          <w:rFonts w:hint="eastAsia"/>
        </w:rPr>
        <w:t>振动测试包括两种方式：一是测量机械或结构在工作状态下的振动，如振动位移、速度、加速度、频率和相位等，了解被测对象的振动状态，评定等级和寻找振源，对设备进行监测、分析、诊断和预测。二是对机械设备或结构施加某种激励，测量其受迫振动，以便求得被测对象的振动力学参量或动态性能，如固有频率、阻尼、刚度、频率响应和模态等。</w:t>
      </w:r>
    </w:p>
    <w:p w14:paraId="2B093CF2">
      <w:pPr>
        <w:pStyle w:val="15"/>
        <w:ind w:firstLine="480"/>
      </w:pPr>
      <w:r>
        <w:rPr>
          <w:rFonts w:hint="eastAsia"/>
        </w:rPr>
        <w:t>振动的</w:t>
      </w:r>
      <w:r>
        <w:rPr>
          <w:rFonts w:hint="eastAsia"/>
          <w:color w:val="FF0000"/>
        </w:rPr>
        <w:t>幅值、频率和相位</w:t>
      </w:r>
      <w:r>
        <w:rPr>
          <w:rFonts w:hint="eastAsia"/>
        </w:rPr>
        <w:t>是振动的三个基本参数，称为</w:t>
      </w:r>
      <w:r>
        <w:rPr>
          <w:rFonts w:hint="eastAsia"/>
          <w:b/>
          <w:color w:val="FF0000"/>
        </w:rPr>
        <w:t>振动三要素</w:t>
      </w:r>
      <w:r>
        <w:rPr>
          <w:rFonts w:hint="eastAsia"/>
        </w:rPr>
        <w:t>。</w:t>
      </w:r>
    </w:p>
    <w:p w14:paraId="06D8C526">
      <w:pPr>
        <w:pStyle w:val="15"/>
        <w:ind w:firstLine="480"/>
      </w:pPr>
      <w:r>
        <w:rPr>
          <w:rFonts w:hint="eastAsia"/>
        </w:rPr>
        <w:t>幅值：幅值是振动强度的标志，它可以用峰值、有效值、平均值等方法来表示。</w:t>
      </w:r>
    </w:p>
    <w:p w14:paraId="18C70A69">
      <w:pPr>
        <w:pStyle w:val="15"/>
        <w:ind w:firstLine="480"/>
      </w:pPr>
      <w:r>
        <w:rPr>
          <w:rFonts w:hint="eastAsia"/>
        </w:rPr>
        <w:t>频率：不同的频率成分反映系统内不同的振源。通过频谱分析可以确定主要频率成分及其幅值大小，从而寻找振源，采取相应的措施。</w:t>
      </w:r>
    </w:p>
    <w:p w14:paraId="5EF15ACC">
      <w:pPr>
        <w:pStyle w:val="15"/>
        <w:ind w:firstLine="480"/>
      </w:pPr>
      <w:r>
        <w:rPr>
          <w:rFonts w:hint="eastAsia"/>
        </w:rPr>
        <w:t>相位：振动信号的相位信息十分重要，如利用相位关系确定共振点、测量振型、旋转件动平衡、有源振动控制值、降噪等。对于复杂振动的波形分析，各谐波的相位关系是不可缺少的。</w:t>
      </w:r>
    </w:p>
    <w:p w14:paraId="00BD40ED">
      <w:pPr>
        <w:pStyle w:val="15"/>
        <w:ind w:firstLine="480"/>
      </w:pPr>
      <w:r>
        <w:rPr>
          <w:rFonts w:hint="eastAsia"/>
        </w:rPr>
        <w:t>本实验从幅值、频率和相位三个部分出发，对比加速度传感器和位移传感器在同一振动中的不同特性。同时，观察加速度传感器与位移传感器随电机转速的不同，所测得的电机转子在不同转速下的振动特征，得出规律。</w:t>
      </w:r>
    </w:p>
    <w:p w14:paraId="58381549">
      <w:pPr>
        <w:pStyle w:val="15"/>
        <w:ind w:firstLine="480"/>
      </w:pPr>
      <w:r>
        <w:rPr>
          <w:rFonts w:hint="eastAsia"/>
        </w:rPr>
        <w:t>位移、速度、加速度信号的关系如下：</w:t>
      </w:r>
    </w:p>
    <w:p w14:paraId="62E3121B">
      <w:pPr>
        <w:pStyle w:val="15"/>
        <w:ind w:firstLine="482"/>
        <w:rPr>
          <w:b/>
        </w:rPr>
      </w:pPr>
      <w:r>
        <w:rPr>
          <w:rFonts w:hint="eastAsia"/>
          <w:b/>
        </w:rPr>
        <w:t>位移信号为：</w:t>
      </w:r>
      <m:oMath>
        <m:r>
          <m:rPr>
            <m:sty m:val="b"/>
          </m:rPr>
          <w:rPr>
            <w:rFonts w:ascii="Cambria Math" w:hAnsi="Cambria Math"/>
          </w:rPr>
          <m:t>y=Ysin</m:t>
        </m:r>
        <m:d>
          <m:dPr>
            <m:ctrlPr>
              <w:rPr>
                <w:rFonts w:ascii="Cambria Math" w:hAnsi="Cambria Math"/>
                <w:b/>
              </w:rPr>
            </m:ctrlPr>
          </m:dPr>
          <m:e>
            <m:r>
              <m:rPr>
                <m:sty m:val="b"/>
              </m:rPr>
              <w:rPr>
                <w:rFonts w:ascii="Cambria Math" w:hAnsi="Cambria Math"/>
              </w:rPr>
              <m:t>ωt−φ</m:t>
            </m:r>
            <m:ctrlPr>
              <w:rPr>
                <w:rFonts w:ascii="Cambria Math" w:hAnsi="Cambria Math"/>
                <w:b/>
              </w:rPr>
            </m:ctrlPr>
          </m:e>
        </m:d>
      </m:oMath>
    </w:p>
    <w:p w14:paraId="1E3A14E9">
      <w:pPr>
        <w:pStyle w:val="15"/>
        <w:ind w:firstLine="482"/>
        <w:rPr>
          <w:b/>
        </w:rPr>
      </w:pPr>
      <w:r>
        <w:rPr>
          <w:rFonts w:hint="eastAsia"/>
          <w:b/>
        </w:rPr>
        <w:t>速度信号为：</w:t>
      </w:r>
      <m:oMath>
        <m:acc>
          <m:accPr>
            <m:chr m:val="̇"/>
            <m:ctrlPr>
              <w:rPr>
                <w:rFonts w:ascii="Cambria Math" w:hAnsi="Cambria Math"/>
                <w:b/>
              </w:rPr>
            </m:ctrlPr>
          </m:accPr>
          <m:e>
            <m:r>
              <m:rPr>
                <m:sty m:val="b"/>
              </m:rPr>
              <w:rPr>
                <w:rFonts w:ascii="Cambria Math" w:hAnsi="Cambria Math"/>
              </w:rPr>
              <m:t>y</m:t>
            </m:r>
            <m:ctrlPr>
              <w:rPr>
                <w:rFonts w:ascii="Cambria Math" w:hAnsi="Cambria Math"/>
                <w:b/>
              </w:rPr>
            </m:ctrlPr>
          </m:e>
        </m:acc>
        <m:r>
          <m:rPr>
            <m:sty m:val="b"/>
          </m:rPr>
          <w:rPr>
            <w:rFonts w:ascii="Cambria Math" w:hAnsi="Cambria Math"/>
          </w:rPr>
          <m:t>=ωYcos(ωt−φ)</m:t>
        </m:r>
      </m:oMath>
    </w:p>
    <w:p w14:paraId="591CD485">
      <w:pPr>
        <w:pStyle w:val="15"/>
        <w:ind w:firstLine="482"/>
      </w:pPr>
      <w:r>
        <w:rPr>
          <w:rFonts w:hint="eastAsia"/>
          <w:b/>
        </w:rPr>
        <w:t>加速度信号为：</w:t>
      </w:r>
      <m:oMath>
        <m:acc>
          <m:accPr>
            <m:chr m:val="̈"/>
            <m:ctrlPr>
              <w:rPr>
                <w:rFonts w:ascii="Cambria Math" w:hAnsi="Cambria Math"/>
                <w:b/>
              </w:rPr>
            </m:ctrlPr>
          </m:accPr>
          <m:e>
            <m:r>
              <m:rPr>
                <m:sty m:val="b"/>
              </m:rPr>
              <w:rPr>
                <w:rFonts w:ascii="Cambria Math" w:hAnsi="Cambria Math"/>
              </w:rPr>
              <m:t>y</m:t>
            </m:r>
            <m:ctrlPr>
              <w:rPr>
                <w:rFonts w:ascii="Cambria Math" w:hAnsi="Cambria Math"/>
                <w:b/>
              </w:rPr>
            </m:ctrlPr>
          </m:e>
        </m:acc>
        <m:r>
          <m:rPr>
            <m:sty m:val="b"/>
          </m:rPr>
          <w:rPr>
            <w:rFonts w:ascii="Cambria Math" w:hAnsi="Cambria Math"/>
          </w:rPr>
          <m:t>=−</m:t>
        </m:r>
        <m:sSup>
          <m:sSupPr>
            <m:ctrlPr>
              <w:rPr>
                <w:rFonts w:ascii="Cambria Math" w:hAnsi="Cambria Math"/>
                <w:b/>
              </w:rPr>
            </m:ctrlPr>
          </m:sSupPr>
          <m:e>
            <m:r>
              <m:rPr>
                <m:sty m:val="b"/>
              </m:rPr>
              <w:rPr>
                <w:rFonts w:ascii="Cambria Math" w:hAnsi="Cambria Math"/>
              </w:rPr>
              <m:t>ω</m:t>
            </m:r>
            <m:ctrlPr>
              <w:rPr>
                <w:rFonts w:ascii="Cambria Math" w:hAnsi="Cambria Math"/>
                <w:b/>
              </w:rPr>
            </m:ctrlPr>
          </m:e>
          <m:sup>
            <m:r>
              <m:rPr>
                <m:sty m:val="b"/>
              </m:rPr>
              <w:rPr>
                <w:rFonts w:ascii="Cambria Math" w:hAnsi="Cambria Math"/>
              </w:rPr>
              <m:t>2</m:t>
            </m:r>
            <m:ctrlPr>
              <w:rPr>
                <w:rFonts w:ascii="Cambria Math" w:hAnsi="Cambria Math"/>
                <w:b/>
              </w:rPr>
            </m:ctrlPr>
          </m:sup>
        </m:sSup>
        <m:r>
          <m:rPr>
            <m:sty m:val="b"/>
          </m:rPr>
          <w:rPr>
            <w:rFonts w:ascii="Cambria Math" w:hAnsi="Cambria Math"/>
          </w:rPr>
          <m:t>sin⁡(ωt−φ)</m:t>
        </m:r>
      </m:oMath>
    </w:p>
    <w:p w14:paraId="58CFCEEB">
      <w:pPr>
        <w:pStyle w:val="15"/>
        <w:ind w:firstLine="480"/>
      </w:pPr>
      <w:r>
        <w:rPr>
          <w:rFonts w:hint="eastAsia"/>
        </w:rPr>
        <w:t>固有频率也称为自然频率（naturalfrequency）。物体做自由振动时，其位移随时间按正弦或余弦规律变化，振动的频率与初始条件无关，而仅与系统的固有特性有关（如质量、形状、材质等），称为固有频率，其对应周期称为固有周期。</w:t>
      </w:r>
    </w:p>
    <w:p w14:paraId="0485301C">
      <w:pPr>
        <w:pStyle w:val="15"/>
        <w:ind w:firstLine="480"/>
      </w:pPr>
      <w:r>
        <w:rPr>
          <w:rFonts w:hint="eastAsia"/>
        </w:rPr>
        <w:t>当转子实验台振动频率等于悬臂梁固有频率时，悬臂梁发生共振现象，其振动的位移明显增大。判断悬臂梁是否出现共振，可以使用以下两种方法：</w:t>
      </w:r>
    </w:p>
    <w:p w14:paraId="60C84A1E">
      <w:pPr>
        <w:pStyle w:val="15"/>
        <w:numPr>
          <w:ilvl w:val="0"/>
          <w:numId w:val="6"/>
        </w:numPr>
        <w:ind w:left="851" w:firstLineChars="0"/>
        <w:rPr>
          <w:b/>
        </w:rPr>
      </w:pPr>
      <w:r>
        <w:rPr>
          <w:rFonts w:hint="eastAsia"/>
          <w:b/>
        </w:rPr>
        <w:t>幅值判别法</w:t>
      </w:r>
    </w:p>
    <w:p w14:paraId="119C58B0">
      <w:pPr>
        <w:pStyle w:val="15"/>
        <w:ind w:left="426" w:firstLine="424" w:firstLineChars="177"/>
      </w:pPr>
      <w:r>
        <w:rPr>
          <w:rFonts w:hint="eastAsia"/>
        </w:rPr>
        <w:t>测试平台启动，从</w:t>
      </w:r>
      <w:r>
        <w:t>0</w:t>
      </w:r>
      <w:r>
        <w:rPr>
          <w:rFonts w:hint="eastAsia"/>
        </w:rPr>
        <w:t xml:space="preserve"> RPM</w:t>
      </w:r>
      <w:r>
        <w:t>开始，由低到高调节电机转速，通过数据采集仪，我们可以观察到在某一频率下，任一振动量（位移、速度、加速度）幅值迅速增加，这就是</w:t>
      </w:r>
      <w:r>
        <w:rPr>
          <w:rFonts w:hint="eastAsia"/>
        </w:rPr>
        <w:t>悬臂梁</w:t>
      </w:r>
      <w:r>
        <w:t>的某阶固有频率。</w:t>
      </w:r>
    </w:p>
    <w:p w14:paraId="04AFE5EF">
      <w:pPr>
        <w:pStyle w:val="15"/>
        <w:numPr>
          <w:ilvl w:val="0"/>
          <w:numId w:val="6"/>
        </w:numPr>
        <w:ind w:left="851" w:hanging="425" w:firstLineChars="0"/>
        <w:rPr>
          <w:b/>
        </w:rPr>
      </w:pPr>
      <w:r>
        <w:rPr>
          <w:rFonts w:hint="eastAsia"/>
          <w:b/>
        </w:rPr>
        <w:t>自谱分析法</w:t>
      </w:r>
    </w:p>
    <w:p w14:paraId="5583B55F">
      <w:pPr>
        <w:pStyle w:val="15"/>
        <w:ind w:left="426" w:firstLine="424" w:firstLineChars="177"/>
      </w:pPr>
      <w:r>
        <w:rPr>
          <w:rFonts w:hint="eastAsia"/>
        </w:rPr>
        <w:t>当悬臂梁做自由衰减振动时包括了各阶频率成分。时域波形反映了各阶频率下自由衰减波形的线性叠加，通过对时域波形做FFT变换，可以得到其频谱图。电机转速由低到高扫频一次，采用</w:t>
      </w:r>
      <w:r>
        <w:rPr>
          <w:rFonts w:hint="eastAsia"/>
          <w:b/>
        </w:rPr>
        <w:t>频域峰值保持</w:t>
      </w:r>
      <w:r>
        <w:rPr>
          <w:rFonts w:hint="eastAsia"/>
        </w:rPr>
        <w:t>的方式，可以从自谱图中的各峰值处得到悬臂梁的各阶固有频率。</w:t>
      </w:r>
    </w:p>
    <w:p w14:paraId="1FF3420F">
      <w:pPr>
        <w:pStyle w:val="15"/>
        <w:numPr>
          <w:ilvl w:val="0"/>
          <w:numId w:val="5"/>
        </w:numPr>
        <w:ind w:left="851" w:firstLineChars="0"/>
      </w:pPr>
      <w:r>
        <w:rPr>
          <w:rFonts w:hint="eastAsia"/>
        </w:rPr>
        <w:t>光电式转速传感器</w:t>
      </w:r>
    </w:p>
    <w:p w14:paraId="6B71E7FF">
      <w:pPr>
        <w:pStyle w:val="15"/>
        <w:ind w:firstLine="480"/>
      </w:pPr>
      <w:r>
        <w:rPr>
          <w:rFonts w:hint="eastAsia"/>
        </w:rPr>
        <w:t>本实验所用的光电式转速传感器是一种反射式光电转速传感器，内部装有光源、感光元件以及放大器等。从光源发射出来的脉冲光经过被测物体表面/反光贴纸的反射，被传感器的感光元件所接收，输出高电平；如果感光元件没有接收到反射光则输出低电平。光电式转速传感器具有抗干扰性好、结构紧凑、响应快、非接触式测量转速等优点，在检测和控制领域得到了广泛的应用。</w:t>
      </w:r>
    </w:p>
    <w:p w14:paraId="2BC8D3C6">
      <w:pPr>
        <w:pStyle w:val="15"/>
        <w:numPr>
          <w:ilvl w:val="0"/>
          <w:numId w:val="2"/>
        </w:numPr>
        <w:ind w:left="425" w:hanging="431" w:firstLineChars="0"/>
        <w:outlineLvl w:val="1"/>
        <w:rPr>
          <w:b/>
          <w:bCs/>
        </w:rPr>
      </w:pPr>
      <w:r>
        <w:rPr>
          <w:rFonts w:hint="eastAsia"/>
          <w:b/>
          <w:bCs/>
        </w:rPr>
        <w:t>实验仪器</w:t>
      </w:r>
    </w:p>
    <w:p w14:paraId="01B6D35A">
      <w:pPr>
        <w:pStyle w:val="15"/>
        <w:numPr>
          <w:ilvl w:val="0"/>
          <w:numId w:val="7"/>
        </w:numPr>
        <w:ind w:left="851" w:firstLineChars="0"/>
      </w:pPr>
      <w:r>
        <w:rPr>
          <w:rFonts w:hint="eastAsia"/>
        </w:rPr>
        <w:t>电机转子教学模拟平台（含电机*</w:t>
      </w:r>
      <w:r>
        <w:t>1</w:t>
      </w:r>
      <w:r>
        <w:rPr>
          <w:rFonts w:hint="eastAsia"/>
        </w:rPr>
        <w:t>、转轴*</w:t>
      </w:r>
      <w:r>
        <w:t>1</w:t>
      </w:r>
      <w:r>
        <w:rPr>
          <w:rFonts w:hint="eastAsia"/>
        </w:rPr>
        <w:t>、机架*</w:t>
      </w:r>
      <w:r>
        <w:t>1</w:t>
      </w:r>
      <w:r>
        <w:rPr>
          <w:rFonts w:hint="eastAsia"/>
        </w:rPr>
        <w:t>、不锈钢悬臂梁*1及相关配套线缆、支架等）。</w:t>
      </w:r>
    </w:p>
    <w:p w14:paraId="3DCB9E7C">
      <w:pPr>
        <w:pStyle w:val="15"/>
        <w:numPr>
          <w:ilvl w:val="0"/>
          <w:numId w:val="7"/>
        </w:numPr>
        <w:ind w:left="851" w:firstLineChars="0"/>
      </w:pPr>
      <w:r>
        <w:rPr>
          <w:rFonts w:hint="eastAsia"/>
        </w:rPr>
        <w:t>4通道数据采集仪（转速测量模块）——M</w:t>
      </w:r>
      <w:r>
        <w:t>I-7004</w:t>
      </w:r>
      <w:r>
        <w:rPr>
          <w:rFonts w:hint="eastAsia"/>
        </w:rPr>
        <w:t>。</w:t>
      </w:r>
    </w:p>
    <w:p w14:paraId="02F50380">
      <w:pPr>
        <w:pStyle w:val="15"/>
        <w:numPr>
          <w:ilvl w:val="0"/>
          <w:numId w:val="7"/>
        </w:numPr>
        <w:ind w:left="851" w:firstLineChars="0"/>
      </w:pPr>
      <w:r>
        <w:rPr>
          <w:rFonts w:hint="eastAsia"/>
        </w:rPr>
        <w:t>MI-2100传感器适配器——用于给传感器供电。</w:t>
      </w:r>
    </w:p>
    <w:p w14:paraId="072383BD">
      <w:pPr>
        <w:pStyle w:val="15"/>
        <w:numPr>
          <w:ilvl w:val="0"/>
          <w:numId w:val="7"/>
        </w:numPr>
        <w:ind w:left="851" w:firstLineChars="0"/>
      </w:pPr>
      <w:r>
        <w:rPr>
          <w:rFonts w:hint="eastAsia"/>
        </w:rPr>
        <w:t>振动位移传感器。</w:t>
      </w:r>
    </w:p>
    <w:p w14:paraId="797866B3">
      <w:pPr>
        <w:pStyle w:val="15"/>
        <w:numPr>
          <w:ilvl w:val="0"/>
          <w:numId w:val="7"/>
        </w:numPr>
        <w:ind w:left="851" w:firstLineChars="0"/>
      </w:pPr>
      <w:r>
        <w:rPr>
          <w:rFonts w:hint="eastAsia"/>
        </w:rPr>
        <w:t>光电式转速传感器。</w:t>
      </w:r>
    </w:p>
    <w:p w14:paraId="46977BA0">
      <w:pPr>
        <w:pStyle w:val="15"/>
        <w:numPr>
          <w:ilvl w:val="0"/>
          <w:numId w:val="7"/>
        </w:numPr>
        <w:ind w:left="851" w:firstLineChars="0"/>
      </w:pPr>
      <w:r>
        <w:rPr>
          <w:rFonts w:hint="eastAsia"/>
        </w:rPr>
        <w:t>P</w:t>
      </w:r>
      <w:r>
        <w:t>C</w:t>
      </w:r>
      <w:r>
        <w:rPr>
          <w:rFonts w:hint="eastAsia"/>
        </w:rPr>
        <w:t>（主机+显示器）。</w:t>
      </w:r>
    </w:p>
    <w:p w14:paraId="68622060">
      <w:pPr>
        <w:pStyle w:val="15"/>
        <w:ind w:firstLine="480"/>
      </w:pPr>
      <w:r>
        <w:rPr>
          <w:rFonts w:hint="eastAsia"/>
        </w:rPr>
        <w:t>实验系统连接示意图如下，具体什么时候连传感器，请根据操作步骤。</w:t>
      </w:r>
    </w:p>
    <w:p w14:paraId="0D8EC191">
      <w:pPr>
        <w:pStyle w:val="15"/>
        <w:ind w:firstLine="0" w:firstLineChars="0"/>
        <w:jc w:val="center"/>
      </w:pPr>
      <w:r>
        <w:drawing>
          <wp:inline distT="0" distB="0" distL="0" distR="0">
            <wp:extent cx="5061585" cy="5061585"/>
            <wp:effectExtent l="0" t="0" r="5715" b="5715"/>
            <wp:docPr id="235" name="图片 235" descr="E:\02 产品管理\02 产品需求\2021-06-16 转子试验台设计\2021-09-15 转子台新模型系统图实验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descr="E:\02 产品管理\02 产品需求\2021-06-16 转子试验台设计\2021-09-15 转子台新模型系统图实验二.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61600" cy="5061600"/>
                    </a:xfrm>
                    <a:prstGeom prst="rect">
                      <a:avLst/>
                    </a:prstGeom>
                    <a:noFill/>
                    <a:ln>
                      <a:noFill/>
                    </a:ln>
                  </pic:spPr>
                </pic:pic>
              </a:graphicData>
            </a:graphic>
          </wp:inline>
        </w:drawing>
      </w:r>
    </w:p>
    <w:p w14:paraId="32679DD6">
      <w:pPr>
        <w:pStyle w:val="15"/>
        <w:numPr>
          <w:ilvl w:val="0"/>
          <w:numId w:val="2"/>
        </w:numPr>
        <w:ind w:left="425" w:hanging="431" w:firstLineChars="0"/>
        <w:outlineLvl w:val="1"/>
        <w:rPr>
          <w:b/>
          <w:bCs/>
        </w:rPr>
      </w:pPr>
      <w:r>
        <w:rPr>
          <w:rFonts w:hint="eastAsia"/>
          <w:b/>
          <w:bCs/>
        </w:rPr>
        <w:t>实验内容与步骤</w:t>
      </w:r>
    </w:p>
    <w:p w14:paraId="0BC50E98">
      <w:pPr>
        <w:pStyle w:val="15"/>
        <w:ind w:firstLine="480"/>
      </w:pPr>
      <w:r>
        <w:rPr>
          <w:rFonts w:hint="eastAsia"/>
        </w:rPr>
        <w:t>机电设备的主要动力源来自于电机，</w:t>
      </w:r>
      <w:r>
        <w:t>如何快速测得电机的转速是电机检测和故障诊断的基础。本实验平台采用光电转速传感器进行转速测量。使学生能快速</w:t>
      </w:r>
      <w:r>
        <w:rPr>
          <w:rFonts w:hint="eastAsia"/>
        </w:rPr>
        <w:t>理解光电测转速传感器的工作原理，并</w:t>
      </w:r>
      <w:r>
        <w:t>掌握转速传感器的使用</w:t>
      </w:r>
      <w:r>
        <w:rPr>
          <w:rFonts w:hint="eastAsia"/>
        </w:rPr>
        <w:t>方法</w:t>
      </w:r>
      <w:r>
        <w:t>，通过相应的转速调节装置和测量软件</w:t>
      </w:r>
      <w:r>
        <w:rPr>
          <w:rFonts w:hint="eastAsia"/>
        </w:rPr>
        <w:t>，</w:t>
      </w:r>
      <w:r>
        <w:t>准确的判别有效转速，转速的计算方法。</w:t>
      </w:r>
    </w:p>
    <w:p w14:paraId="5DFC0481">
      <w:pPr>
        <w:pStyle w:val="15"/>
        <w:ind w:firstLine="480"/>
      </w:pPr>
      <w:r>
        <w:rPr>
          <w:rFonts w:hint="eastAsia"/>
        </w:rPr>
        <w:t>被测旋转部件、反光贴纸、反射式光电传感器组成光电式转速测量模块。如果被测旋转件表面比较亮，本身就反光，则建议贴黑贴纸。当旋转部件上的反光贴纸/黑贴纸通过光电传感器前时，光电传感器的输出就会跳变一次。通过测出这个跳变频率</w:t>
      </w:r>
      <w:r>
        <w:rPr>
          <w:i/>
        </w:rPr>
        <w:t>f</w:t>
      </w:r>
      <w:r>
        <w:t>，就可知道转速n</w:t>
      </w:r>
      <w:r>
        <w:rPr>
          <w:rFonts w:hint="eastAsia"/>
        </w:rPr>
        <w:t xml:space="preserve"> RPM</w:t>
      </w:r>
      <w:r>
        <w:t>。</w:t>
      </w:r>
    </w:p>
    <w:p w14:paraId="07F4C96C">
      <w:pPr>
        <w:pStyle w:val="15"/>
        <w:ind w:left="900" w:firstLine="492" w:firstLineChars="0"/>
        <w:jc w:val="center"/>
      </w:pPr>
      <w:r>
        <w:t>n=</w:t>
      </w:r>
      <w:r>
        <w:rPr>
          <w:i/>
        </w:rPr>
        <w:t>f</w:t>
      </w:r>
      <w:r>
        <w:rPr>
          <w:rFonts w:hint="eastAsia"/>
        </w:rPr>
        <w:t>*60</w:t>
      </w:r>
    </w:p>
    <w:p w14:paraId="20C85152">
      <w:pPr>
        <w:pStyle w:val="15"/>
        <w:ind w:firstLine="480"/>
      </w:pPr>
      <w:r>
        <w:rPr>
          <w:rFonts w:hint="eastAsia"/>
        </w:rPr>
        <w:t>如果在被测部件上对称安装多个反光片贴纸，那么，</w:t>
      </w:r>
      <w:r>
        <w:t>n=</w:t>
      </w:r>
      <w:r>
        <w:rPr>
          <w:rFonts w:hint="eastAsia"/>
        </w:rPr>
        <w:t>(</w:t>
      </w:r>
      <w:r>
        <w:rPr>
          <w:i/>
        </w:rPr>
        <w:t>f</w:t>
      </w:r>
      <w:r>
        <w:rPr>
          <w:rFonts w:hint="eastAsia"/>
        </w:rPr>
        <w:t xml:space="preserve"> *60)</w:t>
      </w:r>
      <w:r>
        <w:t>/N。N</w:t>
      </w:r>
      <w:r>
        <w:rPr>
          <w:rFonts w:hint="eastAsia"/>
        </w:rPr>
        <w:t>为</w:t>
      </w:r>
      <w:r>
        <w:t>反光贴纸</w:t>
      </w:r>
      <w:r>
        <w:rPr>
          <w:rFonts w:hint="eastAsia"/>
        </w:rPr>
        <w:t>或黑色贴纸</w:t>
      </w:r>
      <w:r>
        <w:t>的数量。</w:t>
      </w:r>
    </w:p>
    <w:p w14:paraId="5E2D6BA4">
      <w:pPr>
        <w:pStyle w:val="15"/>
        <w:ind w:firstLine="0" w:firstLineChars="0"/>
        <w:jc w:val="center"/>
      </w:pPr>
      <w:r>
        <w:drawing>
          <wp:inline distT="0" distB="0" distL="0" distR="0">
            <wp:extent cx="4972050" cy="3390900"/>
            <wp:effectExtent l="0" t="0" r="0" b="0"/>
            <wp:docPr id="13" name="图片 13" descr="E:\02 产品管理\02 产品需求\2021-06-16 转子试验台设计\2021-09-15 转子台新模型 光电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02 产品管理\02 产品需求\2021-06-16 转子试验台设计\2021-09-15 转子台新模型 光电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972050" cy="3390900"/>
                    </a:xfrm>
                    <a:prstGeom prst="rect">
                      <a:avLst/>
                    </a:prstGeom>
                    <a:noFill/>
                    <a:ln>
                      <a:noFill/>
                    </a:ln>
                  </pic:spPr>
                </pic:pic>
              </a:graphicData>
            </a:graphic>
          </wp:inline>
        </w:drawing>
      </w:r>
    </w:p>
    <w:p w14:paraId="72A48584">
      <w:pPr>
        <w:pStyle w:val="15"/>
        <w:ind w:firstLine="0" w:firstLineChars="0"/>
        <w:jc w:val="center"/>
        <w:rPr>
          <w:color w:val="FF0000"/>
        </w:rPr>
      </w:pPr>
      <w:r>
        <w:rPr>
          <w:rFonts w:hint="eastAsia"/>
        </w:rPr>
        <w:t>光电式转速传感器测量装置</w:t>
      </w:r>
    </w:p>
    <w:p w14:paraId="1E6CAD75">
      <w:pPr>
        <w:pStyle w:val="15"/>
        <w:ind w:firstLine="480"/>
      </w:pPr>
      <w:r>
        <w:rPr>
          <w:rFonts w:hint="eastAsia"/>
        </w:rPr>
        <w:t>本实验通过小型电动机带动转子，除了测量电机转速外，电机运动往往会伴随着振动。学习利用振动测量传感器去拾取振动实时波形，做频谱分析，来快速寻找震源；学习悬臂梁结构固有频率的测量。振动测试过程中会用到电涡流位移传感器。以下是实验步骤：</w:t>
      </w:r>
    </w:p>
    <w:p w14:paraId="661C24BF">
      <w:pPr>
        <w:pStyle w:val="15"/>
        <w:numPr>
          <w:ilvl w:val="0"/>
          <w:numId w:val="8"/>
        </w:numPr>
        <w:ind w:left="426" w:firstLineChars="0"/>
        <w:outlineLvl w:val="2"/>
      </w:pPr>
      <w:r>
        <w:rPr>
          <w:rFonts w:hint="eastAsia"/>
        </w:rPr>
        <w:t>实验准备：连接设备、运行软件</w:t>
      </w:r>
    </w:p>
    <w:p w14:paraId="5735DD4F">
      <w:pPr>
        <w:pStyle w:val="15"/>
        <w:ind w:firstLine="480"/>
      </w:pPr>
      <w:r>
        <w:rPr>
          <w:rFonts w:hint="eastAsia"/>
        </w:rPr>
        <w:t>把数据采集仪U</w:t>
      </w:r>
      <w:r>
        <w:t>SB</w:t>
      </w:r>
      <w:r>
        <w:rPr>
          <w:rFonts w:hint="eastAsia"/>
        </w:rPr>
        <w:t>通讯线A型公接口连接到计算机U</w:t>
      </w:r>
      <w:r>
        <w:t>SB</w:t>
      </w:r>
      <w:r>
        <w:rPr>
          <w:rFonts w:hint="eastAsia"/>
        </w:rPr>
        <w:t>接口，B型公接口连接到数据采集与分析仪的U</w:t>
      </w:r>
      <w:r>
        <w:t>SB</w:t>
      </w:r>
      <w:r>
        <w:rPr>
          <w:rFonts w:hint="eastAsia"/>
        </w:rPr>
        <w:t>接口，插上电源。</w:t>
      </w:r>
    </w:p>
    <w:p w14:paraId="1E159C51">
      <w:pPr>
        <w:pStyle w:val="15"/>
        <w:ind w:firstLine="0" w:firstLineChars="0"/>
        <w:jc w:val="center"/>
      </w:pPr>
      <w:r>
        <w:drawing>
          <wp:inline distT="0" distB="0" distL="0" distR="0">
            <wp:extent cx="2190750" cy="138557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2208706" cy="1397345"/>
                    </a:xfrm>
                    <a:prstGeom prst="rect">
                      <a:avLst/>
                    </a:prstGeom>
                  </pic:spPr>
                </pic:pic>
              </a:graphicData>
            </a:graphic>
          </wp:inline>
        </w:drawing>
      </w:r>
    </w:p>
    <w:p w14:paraId="7DF5CC53">
      <w:pPr>
        <w:pStyle w:val="15"/>
        <w:ind w:firstLine="480"/>
      </w:pPr>
      <w:r>
        <w:rPr>
          <w:rFonts w:hint="eastAsia"/>
        </w:rPr>
        <w:t>打开数据采集仪电源开关。</w:t>
      </w:r>
    </w:p>
    <w:p w14:paraId="6800658F">
      <w:pPr>
        <w:pStyle w:val="15"/>
        <w:ind w:firstLine="0" w:firstLineChars="0"/>
        <w:jc w:val="center"/>
      </w:pPr>
      <w:r>
        <w:drawing>
          <wp:inline distT="0" distB="0" distL="0" distR="0">
            <wp:extent cx="996950" cy="9080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1013020" cy="923259"/>
                    </a:xfrm>
                    <a:prstGeom prst="rect">
                      <a:avLst/>
                    </a:prstGeom>
                  </pic:spPr>
                </pic:pic>
              </a:graphicData>
            </a:graphic>
          </wp:inline>
        </w:drawing>
      </w:r>
    </w:p>
    <w:p w14:paraId="3F6563B9">
      <w:pPr>
        <w:pStyle w:val="15"/>
        <w:ind w:firstLine="480"/>
      </w:pPr>
      <w:r>
        <w:rPr>
          <w:rFonts w:hint="eastAsia"/>
        </w:rPr>
        <w:t>在Windows桌面上，找到数据采集与分析软件的快捷图标</w:t>
      </w:r>
      <w:r>
        <w:drawing>
          <wp:inline distT="0" distB="0" distL="0" distR="0">
            <wp:extent cx="323850" cy="28575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323850" cy="285750"/>
                    </a:xfrm>
                    <a:prstGeom prst="rect">
                      <a:avLst/>
                    </a:prstGeom>
                  </pic:spPr>
                </pic:pic>
              </a:graphicData>
            </a:graphic>
          </wp:inline>
        </w:drawing>
      </w:r>
      <w:r>
        <w:rPr>
          <w:rFonts w:hint="eastAsia"/>
        </w:rPr>
        <w:t>。双击图标即可打开数据采集与分析软件，进入试验类型选择界面。点击“数据采集与分析”标签，再单击“动态信号分析”按钮，进入动态信号分析试验界面。</w:t>
      </w:r>
    </w:p>
    <w:p w14:paraId="785DFB7E">
      <w:pPr>
        <w:pStyle w:val="15"/>
        <w:ind w:firstLine="0" w:firstLineChars="0"/>
        <w:jc w:val="center"/>
      </w:pPr>
      <w:r>
        <w:drawing>
          <wp:inline distT="0" distB="0" distL="0" distR="0">
            <wp:extent cx="2990850" cy="2192655"/>
            <wp:effectExtent l="0" t="0" r="635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2999217" cy="2198961"/>
                    </a:xfrm>
                    <a:prstGeom prst="rect">
                      <a:avLst/>
                    </a:prstGeom>
                  </pic:spPr>
                </pic:pic>
              </a:graphicData>
            </a:graphic>
          </wp:inline>
        </w:drawing>
      </w:r>
    </w:p>
    <w:p w14:paraId="0E584866">
      <w:pPr>
        <w:pStyle w:val="15"/>
        <w:numPr>
          <w:ilvl w:val="0"/>
          <w:numId w:val="8"/>
        </w:numPr>
        <w:ind w:left="426" w:firstLineChars="0"/>
        <w:outlineLvl w:val="2"/>
      </w:pPr>
      <w:r>
        <w:rPr>
          <w:rFonts w:hint="eastAsia"/>
        </w:rPr>
        <w:t>正式试验的操作步骤</w:t>
      </w:r>
    </w:p>
    <w:p w14:paraId="799289EE">
      <w:pPr>
        <w:pStyle w:val="15"/>
        <w:numPr>
          <w:ilvl w:val="0"/>
          <w:numId w:val="9"/>
        </w:numPr>
        <w:ind w:left="465" w:firstLine="15" w:firstLineChars="0"/>
      </w:pPr>
      <w:r>
        <w:rPr>
          <w:rFonts w:hint="eastAsia"/>
        </w:rPr>
        <w:t>安装悬臂梁</w:t>
      </w:r>
    </w:p>
    <w:p w14:paraId="4CDBD3B9">
      <w:pPr>
        <w:pStyle w:val="15"/>
        <w:ind w:firstLine="480"/>
      </w:pPr>
      <w:r>
        <w:rPr>
          <w:rFonts w:hint="eastAsia"/>
        </w:rPr>
        <w:t>不锈钢悬臂梁通过螺母安装到右侧的轴承座上。悬臂梁安装时，下方放平垫，上方放弹垫和平垫，悬臂梁与转子的转轴平行，然后将固定螺丝拧紧。</w:t>
      </w:r>
    </w:p>
    <w:p w14:paraId="79EAF20A">
      <w:pPr>
        <w:pStyle w:val="15"/>
        <w:numPr>
          <w:ilvl w:val="0"/>
          <w:numId w:val="9"/>
        </w:numPr>
        <w:ind w:left="465" w:firstLine="15" w:firstLineChars="0"/>
      </w:pPr>
      <w:r>
        <w:rPr>
          <w:rFonts w:hint="eastAsia"/>
        </w:rPr>
        <w:t>安装传感器并接入数据采集仪</w:t>
      </w:r>
    </w:p>
    <w:p w14:paraId="275B2676">
      <w:pPr>
        <w:pStyle w:val="15"/>
        <w:ind w:firstLine="480"/>
      </w:pPr>
      <w:r>
        <w:rPr>
          <w:rFonts w:hint="eastAsia"/>
        </w:rPr>
        <w:t>确保MI-2100传感器适配器处于关机状态，</w:t>
      </w:r>
      <w:r>
        <w:rPr>
          <w:rFonts w:hint="eastAsia"/>
          <w:b/>
        </w:rPr>
        <w:t>供电电压位于±24V档</w:t>
      </w:r>
      <w:r>
        <w:rPr>
          <w:rFonts w:hint="eastAsia"/>
        </w:rPr>
        <w:t>，输出位于</w:t>
      </w:r>
      <w:r>
        <w:rPr>
          <w:rFonts w:hint="eastAsia"/>
          <w:b/>
        </w:rPr>
        <w:t>DC档</w:t>
      </w:r>
      <w:r>
        <w:rPr>
          <w:rFonts w:hint="eastAsia"/>
        </w:rPr>
        <w:t>。把电涡流位移传感器安装到夹具最右侧，接近悬臂梁端部位置的下方约3mm处，将传感器的输出连接到MI-2100传感器适配器的输入通道1；将光电式转速传感器安装到距离转子约1cm处，转子上光电传感器正前方贴上黑胶布。光电式转速传感器的输出接到MI-2100传感器适配器的输入通道2。MI-2100传感器适配器的输出1、2分别连接4通道数据采集仪的电压输入通道1和2（B</w:t>
      </w:r>
      <w:r>
        <w:t>NC</w:t>
      </w:r>
      <w:r>
        <w:rPr>
          <w:rFonts w:hint="eastAsia"/>
        </w:rPr>
        <w:t>接口）。</w:t>
      </w:r>
    </w:p>
    <w:p w14:paraId="1BF1F530">
      <w:pPr>
        <w:pStyle w:val="15"/>
        <w:ind w:firstLine="0" w:firstLineChars="0"/>
        <w:jc w:val="center"/>
      </w:pPr>
      <w:r>
        <w:drawing>
          <wp:inline distT="0" distB="0" distL="0" distR="0">
            <wp:extent cx="3196590" cy="1065530"/>
            <wp:effectExtent l="0" t="0" r="381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3196800" cy="1065600"/>
                    </a:xfrm>
                    <a:prstGeom prst="rect">
                      <a:avLst/>
                    </a:prstGeom>
                  </pic:spPr>
                </pic:pic>
              </a:graphicData>
            </a:graphic>
          </wp:inline>
        </w:drawing>
      </w:r>
    </w:p>
    <w:tbl>
      <w:tblPr>
        <w:tblStyle w:val="11"/>
        <w:tblW w:w="0" w:type="auto"/>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3"/>
        <w:gridCol w:w="2716"/>
        <w:gridCol w:w="4706"/>
      </w:tblGrid>
      <w:tr w14:paraId="410744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63" w:type="dxa"/>
          </w:tcPr>
          <w:p w14:paraId="7E0CD762">
            <w:pPr>
              <w:spacing w:line="120" w:lineRule="auto"/>
              <w:ind w:firstLine="0" w:firstLineChars="0"/>
              <w:jc w:val="center"/>
              <w:rPr>
                <w:sz w:val="21"/>
                <w:szCs w:val="21"/>
              </w:rPr>
            </w:pPr>
            <w:r>
              <w:rPr>
                <w:rFonts w:hint="eastAsia"/>
                <w:sz w:val="21"/>
                <w:szCs w:val="21"/>
              </w:rPr>
              <w:t>序号</w:t>
            </w:r>
          </w:p>
        </w:tc>
        <w:tc>
          <w:tcPr>
            <w:tcW w:w="2716" w:type="dxa"/>
          </w:tcPr>
          <w:p w14:paraId="62158589">
            <w:pPr>
              <w:spacing w:line="120" w:lineRule="auto"/>
              <w:ind w:firstLine="0" w:firstLineChars="0"/>
              <w:jc w:val="center"/>
              <w:rPr>
                <w:sz w:val="21"/>
                <w:szCs w:val="21"/>
              </w:rPr>
            </w:pPr>
            <w:r>
              <w:rPr>
                <w:rFonts w:hint="eastAsia"/>
                <w:sz w:val="21"/>
                <w:szCs w:val="21"/>
              </w:rPr>
              <w:t>名称</w:t>
            </w:r>
          </w:p>
        </w:tc>
        <w:tc>
          <w:tcPr>
            <w:tcW w:w="4706" w:type="dxa"/>
          </w:tcPr>
          <w:p w14:paraId="5E8DF4EA">
            <w:pPr>
              <w:spacing w:line="120" w:lineRule="auto"/>
              <w:ind w:firstLine="420"/>
              <w:jc w:val="center"/>
              <w:rPr>
                <w:sz w:val="21"/>
                <w:szCs w:val="21"/>
              </w:rPr>
            </w:pPr>
            <w:r>
              <w:rPr>
                <w:rFonts w:hint="eastAsia"/>
                <w:sz w:val="21"/>
                <w:szCs w:val="21"/>
              </w:rPr>
              <w:t>用途</w:t>
            </w:r>
          </w:p>
        </w:tc>
      </w:tr>
      <w:tr w14:paraId="14BF11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63" w:type="dxa"/>
          </w:tcPr>
          <w:p w14:paraId="1184B635">
            <w:pPr>
              <w:spacing w:line="120" w:lineRule="auto"/>
              <w:ind w:firstLine="0" w:firstLineChars="0"/>
              <w:jc w:val="center"/>
              <w:rPr>
                <w:sz w:val="21"/>
                <w:szCs w:val="21"/>
              </w:rPr>
            </w:pPr>
            <w:r>
              <w:rPr>
                <w:rFonts w:hint="eastAsia"/>
                <w:sz w:val="21"/>
                <w:szCs w:val="21"/>
              </w:rPr>
              <w:t>1</w:t>
            </w:r>
          </w:p>
        </w:tc>
        <w:tc>
          <w:tcPr>
            <w:tcW w:w="2716" w:type="dxa"/>
          </w:tcPr>
          <w:p w14:paraId="1D2FE150">
            <w:pPr>
              <w:spacing w:line="120" w:lineRule="auto"/>
              <w:ind w:firstLine="0" w:firstLineChars="0"/>
              <w:jc w:val="left"/>
              <w:rPr>
                <w:sz w:val="21"/>
                <w:szCs w:val="21"/>
              </w:rPr>
            </w:pPr>
            <w:r>
              <w:rPr>
                <w:rFonts w:hint="eastAsia"/>
                <w:sz w:val="21"/>
                <w:szCs w:val="21"/>
              </w:rPr>
              <w:t>电压输出通道（B</w:t>
            </w:r>
            <w:r>
              <w:rPr>
                <w:sz w:val="21"/>
                <w:szCs w:val="21"/>
              </w:rPr>
              <w:t>NC</w:t>
            </w:r>
            <w:r>
              <w:rPr>
                <w:rFonts w:hint="eastAsia"/>
                <w:sz w:val="21"/>
                <w:szCs w:val="21"/>
              </w:rPr>
              <w:t>接口）</w:t>
            </w:r>
          </w:p>
        </w:tc>
        <w:tc>
          <w:tcPr>
            <w:tcW w:w="4706" w:type="dxa"/>
          </w:tcPr>
          <w:p w14:paraId="51358733">
            <w:pPr>
              <w:spacing w:line="120" w:lineRule="auto"/>
              <w:ind w:firstLine="0" w:firstLineChars="0"/>
              <w:jc w:val="left"/>
              <w:rPr>
                <w:sz w:val="21"/>
                <w:szCs w:val="21"/>
              </w:rPr>
            </w:pPr>
            <w:r>
              <w:rPr>
                <w:rFonts w:hint="eastAsia"/>
                <w:sz w:val="21"/>
                <w:szCs w:val="21"/>
              </w:rPr>
              <w:t>作为信号源，输出各种类型的信号</w:t>
            </w:r>
          </w:p>
        </w:tc>
      </w:tr>
      <w:tr w14:paraId="042ECF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63" w:type="dxa"/>
          </w:tcPr>
          <w:p w14:paraId="03BA5673">
            <w:pPr>
              <w:spacing w:line="120" w:lineRule="auto"/>
              <w:ind w:firstLine="0" w:firstLineChars="0"/>
              <w:jc w:val="center"/>
              <w:rPr>
                <w:sz w:val="21"/>
                <w:szCs w:val="21"/>
              </w:rPr>
            </w:pPr>
            <w:r>
              <w:rPr>
                <w:rFonts w:hint="eastAsia"/>
                <w:sz w:val="21"/>
                <w:szCs w:val="21"/>
              </w:rPr>
              <w:t>2</w:t>
            </w:r>
          </w:p>
        </w:tc>
        <w:tc>
          <w:tcPr>
            <w:tcW w:w="2716" w:type="dxa"/>
          </w:tcPr>
          <w:p w14:paraId="08E3A40C">
            <w:pPr>
              <w:spacing w:line="120" w:lineRule="auto"/>
              <w:ind w:firstLine="0" w:firstLineChars="0"/>
              <w:jc w:val="left"/>
              <w:rPr>
                <w:sz w:val="21"/>
                <w:szCs w:val="21"/>
              </w:rPr>
            </w:pPr>
            <w:r>
              <w:rPr>
                <w:rFonts w:hint="eastAsia"/>
                <w:sz w:val="21"/>
                <w:szCs w:val="21"/>
              </w:rPr>
              <w:t>电压输入通道（B</w:t>
            </w:r>
            <w:r>
              <w:rPr>
                <w:sz w:val="21"/>
                <w:szCs w:val="21"/>
              </w:rPr>
              <w:t>NC</w:t>
            </w:r>
            <w:r>
              <w:rPr>
                <w:rFonts w:hint="eastAsia"/>
                <w:sz w:val="21"/>
                <w:szCs w:val="21"/>
              </w:rPr>
              <w:t>接口）</w:t>
            </w:r>
          </w:p>
        </w:tc>
        <w:tc>
          <w:tcPr>
            <w:tcW w:w="4706" w:type="dxa"/>
          </w:tcPr>
          <w:p w14:paraId="32652977">
            <w:pPr>
              <w:spacing w:line="120" w:lineRule="auto"/>
              <w:ind w:firstLine="0" w:firstLineChars="0"/>
              <w:jc w:val="left"/>
              <w:rPr>
                <w:sz w:val="21"/>
                <w:szCs w:val="21"/>
              </w:rPr>
            </w:pPr>
            <w:r>
              <w:rPr>
                <w:rFonts w:hint="eastAsia"/>
                <w:sz w:val="21"/>
                <w:szCs w:val="21"/>
              </w:rPr>
              <w:t>用来连接传感器信号输入，只允许输入电压信号</w:t>
            </w:r>
          </w:p>
        </w:tc>
      </w:tr>
      <w:tr w14:paraId="5D85B4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63" w:type="dxa"/>
          </w:tcPr>
          <w:p w14:paraId="71779890">
            <w:pPr>
              <w:spacing w:line="120" w:lineRule="auto"/>
              <w:ind w:firstLine="0" w:firstLineChars="0"/>
              <w:jc w:val="center"/>
              <w:rPr>
                <w:sz w:val="21"/>
                <w:szCs w:val="21"/>
              </w:rPr>
            </w:pPr>
            <w:r>
              <w:rPr>
                <w:rFonts w:hint="eastAsia"/>
                <w:sz w:val="21"/>
                <w:szCs w:val="21"/>
              </w:rPr>
              <w:t>3</w:t>
            </w:r>
          </w:p>
        </w:tc>
        <w:tc>
          <w:tcPr>
            <w:tcW w:w="2716" w:type="dxa"/>
          </w:tcPr>
          <w:p w14:paraId="5ABD0C14">
            <w:pPr>
              <w:spacing w:line="120" w:lineRule="auto"/>
              <w:ind w:firstLine="0" w:firstLineChars="0"/>
              <w:jc w:val="left"/>
              <w:rPr>
                <w:sz w:val="21"/>
                <w:szCs w:val="21"/>
              </w:rPr>
            </w:pPr>
            <w:r>
              <w:rPr>
                <w:rFonts w:hint="eastAsia"/>
                <w:sz w:val="21"/>
                <w:szCs w:val="21"/>
              </w:rPr>
              <w:t>U</w:t>
            </w:r>
            <w:r>
              <w:rPr>
                <w:sz w:val="21"/>
                <w:szCs w:val="21"/>
              </w:rPr>
              <w:t>SB</w:t>
            </w:r>
            <w:r>
              <w:rPr>
                <w:rFonts w:hint="eastAsia"/>
                <w:sz w:val="21"/>
                <w:szCs w:val="21"/>
              </w:rPr>
              <w:t>接口</w:t>
            </w:r>
          </w:p>
        </w:tc>
        <w:tc>
          <w:tcPr>
            <w:tcW w:w="4706" w:type="dxa"/>
          </w:tcPr>
          <w:p w14:paraId="72DB3C25">
            <w:pPr>
              <w:spacing w:line="120" w:lineRule="auto"/>
              <w:ind w:firstLine="0" w:firstLineChars="0"/>
              <w:jc w:val="left"/>
              <w:rPr>
                <w:sz w:val="21"/>
                <w:szCs w:val="21"/>
              </w:rPr>
            </w:pPr>
            <w:r>
              <w:rPr>
                <w:rFonts w:hint="eastAsia"/>
                <w:sz w:val="21"/>
                <w:szCs w:val="21"/>
              </w:rPr>
              <w:t>U</w:t>
            </w:r>
            <w:r>
              <w:rPr>
                <w:sz w:val="21"/>
                <w:szCs w:val="21"/>
              </w:rPr>
              <w:t>SB B</w:t>
            </w:r>
            <w:r>
              <w:rPr>
                <w:rFonts w:hint="eastAsia"/>
                <w:sz w:val="21"/>
                <w:szCs w:val="21"/>
              </w:rPr>
              <w:t>型母接口，通过U</w:t>
            </w:r>
            <w:r>
              <w:rPr>
                <w:sz w:val="21"/>
                <w:szCs w:val="21"/>
              </w:rPr>
              <w:t>SB</w:t>
            </w:r>
            <w:r>
              <w:rPr>
                <w:rFonts w:hint="eastAsia"/>
                <w:sz w:val="21"/>
                <w:szCs w:val="21"/>
              </w:rPr>
              <w:t>通讯线连接到计算机</w:t>
            </w:r>
          </w:p>
        </w:tc>
      </w:tr>
      <w:tr w14:paraId="594D6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63" w:type="dxa"/>
          </w:tcPr>
          <w:p w14:paraId="3391240F">
            <w:pPr>
              <w:spacing w:line="120" w:lineRule="auto"/>
              <w:ind w:firstLine="0" w:firstLineChars="0"/>
              <w:jc w:val="center"/>
              <w:rPr>
                <w:sz w:val="21"/>
                <w:szCs w:val="21"/>
              </w:rPr>
            </w:pPr>
            <w:r>
              <w:rPr>
                <w:rFonts w:hint="eastAsia"/>
                <w:sz w:val="21"/>
                <w:szCs w:val="21"/>
              </w:rPr>
              <w:t>4</w:t>
            </w:r>
          </w:p>
        </w:tc>
        <w:tc>
          <w:tcPr>
            <w:tcW w:w="2716" w:type="dxa"/>
          </w:tcPr>
          <w:p w14:paraId="478AB0BD">
            <w:pPr>
              <w:spacing w:line="120" w:lineRule="auto"/>
              <w:ind w:firstLine="0" w:firstLineChars="0"/>
              <w:jc w:val="left"/>
              <w:rPr>
                <w:sz w:val="21"/>
                <w:szCs w:val="21"/>
              </w:rPr>
            </w:pPr>
            <w:r>
              <w:rPr>
                <w:rFonts w:hint="eastAsia"/>
                <w:sz w:val="21"/>
                <w:szCs w:val="21"/>
              </w:rPr>
              <w:t>S</w:t>
            </w:r>
            <w:r>
              <w:rPr>
                <w:sz w:val="21"/>
                <w:szCs w:val="21"/>
              </w:rPr>
              <w:t>YS</w:t>
            </w:r>
            <w:r>
              <w:rPr>
                <w:rFonts w:hint="eastAsia"/>
                <w:sz w:val="21"/>
                <w:szCs w:val="21"/>
              </w:rPr>
              <w:t>指示灯</w:t>
            </w:r>
          </w:p>
        </w:tc>
        <w:tc>
          <w:tcPr>
            <w:tcW w:w="4706" w:type="dxa"/>
          </w:tcPr>
          <w:p w14:paraId="43566DCD">
            <w:pPr>
              <w:spacing w:line="120" w:lineRule="auto"/>
              <w:ind w:firstLine="0" w:firstLineChars="0"/>
              <w:jc w:val="left"/>
              <w:rPr>
                <w:sz w:val="21"/>
                <w:szCs w:val="21"/>
              </w:rPr>
            </w:pPr>
            <w:r>
              <w:rPr>
                <w:rFonts w:hint="eastAsia"/>
                <w:sz w:val="21"/>
                <w:szCs w:val="21"/>
              </w:rPr>
              <w:t>系统状态，进入试验界面后，一直闪烁</w:t>
            </w:r>
          </w:p>
        </w:tc>
      </w:tr>
      <w:tr w14:paraId="493C08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63" w:type="dxa"/>
          </w:tcPr>
          <w:p w14:paraId="6920A2FB">
            <w:pPr>
              <w:spacing w:line="120" w:lineRule="auto"/>
              <w:ind w:firstLine="0" w:firstLineChars="0"/>
              <w:jc w:val="center"/>
              <w:rPr>
                <w:sz w:val="21"/>
                <w:szCs w:val="21"/>
              </w:rPr>
            </w:pPr>
            <w:r>
              <w:rPr>
                <w:rFonts w:hint="eastAsia"/>
                <w:sz w:val="21"/>
                <w:szCs w:val="21"/>
              </w:rPr>
              <w:t>5</w:t>
            </w:r>
          </w:p>
        </w:tc>
        <w:tc>
          <w:tcPr>
            <w:tcW w:w="2716" w:type="dxa"/>
          </w:tcPr>
          <w:p w14:paraId="6F3E8A2B">
            <w:pPr>
              <w:spacing w:line="120" w:lineRule="auto"/>
              <w:ind w:firstLine="0" w:firstLineChars="0"/>
              <w:jc w:val="left"/>
              <w:rPr>
                <w:sz w:val="21"/>
                <w:szCs w:val="21"/>
              </w:rPr>
            </w:pPr>
            <w:r>
              <w:rPr>
                <w:rFonts w:hint="eastAsia"/>
                <w:sz w:val="21"/>
                <w:szCs w:val="21"/>
              </w:rPr>
              <w:t>Power指示灯</w:t>
            </w:r>
          </w:p>
        </w:tc>
        <w:tc>
          <w:tcPr>
            <w:tcW w:w="4706" w:type="dxa"/>
          </w:tcPr>
          <w:p w14:paraId="1F4D7EB8">
            <w:pPr>
              <w:spacing w:line="120" w:lineRule="auto"/>
              <w:ind w:firstLine="0" w:firstLineChars="0"/>
              <w:jc w:val="left"/>
              <w:rPr>
                <w:sz w:val="21"/>
                <w:szCs w:val="21"/>
              </w:rPr>
            </w:pPr>
            <w:r>
              <w:rPr>
                <w:rFonts w:hint="eastAsia"/>
                <w:sz w:val="21"/>
                <w:szCs w:val="21"/>
              </w:rPr>
              <w:t>电源状态，电源接通后，显示为绿色</w:t>
            </w:r>
          </w:p>
        </w:tc>
      </w:tr>
    </w:tbl>
    <w:p w14:paraId="17A7EAD4">
      <w:pPr>
        <w:pStyle w:val="15"/>
        <w:numPr>
          <w:ilvl w:val="0"/>
          <w:numId w:val="9"/>
        </w:numPr>
        <w:ind w:left="465" w:firstLine="15" w:firstLineChars="0"/>
      </w:pPr>
      <w:r>
        <w:rPr>
          <w:rFonts w:hint="eastAsia"/>
        </w:rPr>
        <w:t>硬件参数和采样参数设置</w:t>
      </w:r>
    </w:p>
    <w:p w14:paraId="45E243B4">
      <w:pPr>
        <w:pStyle w:val="15"/>
        <w:ind w:firstLine="480"/>
      </w:pPr>
      <w:r>
        <w:rPr>
          <w:rFonts w:hint="eastAsia"/>
        </w:rPr>
        <w:t>在工具栏上点击</w:t>
      </w:r>
      <w:r>
        <w:drawing>
          <wp:inline distT="0" distB="0" distL="0" distR="0">
            <wp:extent cx="180975" cy="1898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191521" cy="201095"/>
                    </a:xfrm>
                    <a:prstGeom prst="rect">
                      <a:avLst/>
                    </a:prstGeom>
                  </pic:spPr>
                </pic:pic>
              </a:graphicData>
            </a:graphic>
          </wp:inline>
        </w:drawing>
      </w:r>
      <w:r>
        <w:rPr>
          <w:rFonts w:hint="eastAsia"/>
        </w:rPr>
        <w:t>，进行输入通道参数设置。</w:t>
      </w:r>
    </w:p>
    <w:p w14:paraId="4351CAF1">
      <w:pPr>
        <w:pStyle w:val="15"/>
        <w:ind w:firstLine="480"/>
      </w:pPr>
      <w:r>
        <w:rPr>
          <w:rFonts w:hint="eastAsia"/>
        </w:rPr>
        <w:t>除输入通道1，2外，将其他输入通道的类型修改为“不用”。将输入通道3的类型修改为“不用”，然后点击“向下填充”按钮。</w:t>
      </w:r>
    </w:p>
    <w:p w14:paraId="38A9549A">
      <w:pPr>
        <w:pStyle w:val="15"/>
        <w:ind w:firstLine="0" w:firstLineChars="0"/>
        <w:jc w:val="center"/>
      </w:pPr>
      <w:r>
        <w:drawing>
          <wp:inline distT="0" distB="0" distL="0" distR="0">
            <wp:extent cx="4575175" cy="25520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575600" cy="2552400"/>
                    </a:xfrm>
                    <a:prstGeom prst="rect">
                      <a:avLst/>
                    </a:prstGeom>
                    <a:noFill/>
                    <a:ln>
                      <a:noFill/>
                    </a:ln>
                  </pic:spPr>
                </pic:pic>
              </a:graphicData>
            </a:graphic>
          </wp:inline>
        </w:drawing>
      </w:r>
    </w:p>
    <w:p w14:paraId="3F12D367">
      <w:pPr>
        <w:pStyle w:val="15"/>
        <w:ind w:firstLine="480"/>
      </w:pPr>
      <w:r>
        <w:rPr>
          <w:rFonts w:hint="eastAsia"/>
        </w:rPr>
        <w:t>将输入通道1，2的通道参数设置为：</w:t>
      </w:r>
    </w:p>
    <w:p w14:paraId="074B7913">
      <w:pPr>
        <w:pStyle w:val="15"/>
        <w:ind w:firstLine="0" w:firstLineChars="0"/>
        <w:jc w:val="center"/>
      </w:pPr>
      <w:r>
        <w:drawing>
          <wp:inline distT="0" distB="0" distL="0" distR="0">
            <wp:extent cx="5276850" cy="6286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6850" cy="628650"/>
                    </a:xfrm>
                    <a:prstGeom prst="rect">
                      <a:avLst/>
                    </a:prstGeom>
                    <a:noFill/>
                    <a:ln>
                      <a:noFill/>
                    </a:ln>
                  </pic:spPr>
                </pic:pic>
              </a:graphicData>
            </a:graphic>
          </wp:inline>
        </w:drawing>
      </w:r>
    </w:p>
    <w:p w14:paraId="2AF85D08">
      <w:pPr>
        <w:pStyle w:val="15"/>
        <w:rPr>
          <w:sz w:val="21"/>
        </w:rPr>
      </w:pPr>
      <w:r>
        <w:rPr>
          <w:rFonts w:hint="eastAsia"/>
          <w:sz w:val="21"/>
        </w:rPr>
        <w:t>注意：位移传感器的灵敏度请根据传感器的说明书按实际填写。另外，这里的耦合方式设置为AC差分，高通滤波0.7Hz是滤除了直流成分，测试的是动态位移。</w:t>
      </w:r>
    </w:p>
    <w:p w14:paraId="412AACA5">
      <w:pPr>
        <w:pStyle w:val="15"/>
        <w:ind w:firstLine="480"/>
      </w:pPr>
      <w:r>
        <w:rPr>
          <w:rFonts w:hint="eastAsia"/>
        </w:rPr>
        <w:t>在工具栏上点击</w:t>
      </w:r>
      <w:r>
        <w:drawing>
          <wp:inline distT="0" distB="0" distL="0" distR="0">
            <wp:extent cx="217805" cy="20701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233324" cy="221657"/>
                    </a:xfrm>
                    <a:prstGeom prst="rect">
                      <a:avLst/>
                    </a:prstGeom>
                  </pic:spPr>
                </pic:pic>
              </a:graphicData>
            </a:graphic>
          </wp:inline>
        </w:drawing>
      </w:r>
      <w:r>
        <w:rPr>
          <w:rFonts w:hint="eastAsia"/>
        </w:rPr>
        <w:t>，进行分析参数设置。</w:t>
      </w:r>
    </w:p>
    <w:p w14:paraId="16B1E63A">
      <w:pPr>
        <w:pStyle w:val="15"/>
        <w:ind w:firstLine="480"/>
      </w:pPr>
      <w:r>
        <w:rPr>
          <w:rFonts w:hint="eastAsia"/>
        </w:rPr>
        <w:t>设置采样点数：1024；采样频率：800</w:t>
      </w:r>
      <w:r>
        <w:t>Hz</w:t>
      </w:r>
      <w:r>
        <w:rPr>
          <w:rFonts w:hint="eastAsia"/>
        </w:rPr>
        <w:t>；加窗类型：Ha</w:t>
      </w:r>
      <w:r>
        <w:t>nning</w:t>
      </w:r>
      <w:r>
        <w:rPr>
          <w:rFonts w:hint="eastAsia"/>
        </w:rPr>
        <w:t>；不平均、无触发、自由运行、不延时。实际测试中，通常采样频率设置成接入信号频率的3-</w:t>
      </w:r>
      <w:r>
        <w:t>5</w:t>
      </w:r>
      <w:r>
        <w:rPr>
          <w:rFonts w:hint="eastAsia"/>
        </w:rPr>
        <w:t>倍，但是如果需要在时域看到准确的信号幅值则采样频率往往需要设置为信号频率的10倍或更高。在测试过程中，用户根据实际信号可适当调整采样频率。</w:t>
      </w:r>
    </w:p>
    <w:p w14:paraId="125FDD50">
      <w:pPr>
        <w:pStyle w:val="15"/>
        <w:ind w:firstLine="0" w:firstLineChars="0"/>
        <w:jc w:val="center"/>
      </w:pPr>
      <w:r>
        <w:drawing>
          <wp:inline distT="0" distB="0" distL="0" distR="0">
            <wp:extent cx="3134995" cy="3808730"/>
            <wp:effectExtent l="0" t="0" r="8255" b="127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24"/>
                    <a:stretch>
                      <a:fillRect/>
                    </a:stretch>
                  </pic:blipFill>
                  <pic:spPr>
                    <a:xfrm>
                      <a:off x="0" y="0"/>
                      <a:ext cx="3135600" cy="3808800"/>
                    </a:xfrm>
                    <a:prstGeom prst="rect">
                      <a:avLst/>
                    </a:prstGeom>
                  </pic:spPr>
                </pic:pic>
              </a:graphicData>
            </a:graphic>
          </wp:inline>
        </w:drawing>
      </w:r>
    </w:p>
    <w:p w14:paraId="24FDFA39">
      <w:pPr>
        <w:pStyle w:val="15"/>
        <w:ind w:firstLine="480"/>
      </w:pPr>
      <w:r>
        <w:t>软件中</w:t>
      </w:r>
      <w:r>
        <w:rPr>
          <w:rFonts w:hint="eastAsia"/>
        </w:rPr>
        <w:t>，采样点数和分析谱线是2.56倍的关系，采样频率和分析频宽是2.56倍的关系。设置时只需要确定一组中的一个，另一个就确定了。</w:t>
      </w:r>
    </w:p>
    <w:p w14:paraId="394B4C70">
      <w:pPr>
        <w:pStyle w:val="15"/>
        <w:numPr>
          <w:ilvl w:val="0"/>
          <w:numId w:val="9"/>
        </w:numPr>
        <w:ind w:left="465" w:firstLine="15" w:firstLineChars="0"/>
      </w:pPr>
      <w:r>
        <w:rPr>
          <w:rFonts w:hint="eastAsia"/>
        </w:rPr>
        <w:t>显示设置</w:t>
      </w:r>
    </w:p>
    <w:p w14:paraId="005322FD">
      <w:pPr>
        <w:pStyle w:val="15"/>
        <w:ind w:firstLine="480"/>
      </w:pPr>
      <w:r>
        <w:rPr>
          <w:rFonts w:hint="eastAsia"/>
        </w:rPr>
        <w:t>实验数据显示：默认的“时频显示1”为双窗格。在上窗格中鼠标右键单击，在弹出的右键菜单中选择“窗口</w:t>
      </w:r>
      <w:r>
        <w:t>图</w:t>
      </w:r>
      <w:r>
        <w:rPr>
          <w:rFonts w:hint="eastAsia"/>
        </w:rPr>
        <w:t>形</w:t>
      </w:r>
      <w:r>
        <w:t>-增加列</w:t>
      </w:r>
      <w:r>
        <w:rPr>
          <w:rFonts w:hint="eastAsia"/>
        </w:rPr>
        <w:t>”，就变成了2*2的四窗格。在第一行的</w:t>
      </w:r>
      <w:r>
        <w:t>窗格中鼠标</w:t>
      </w:r>
      <w:r>
        <w:rPr>
          <w:rFonts w:hint="eastAsia"/>
        </w:rPr>
        <w:t>右键</w:t>
      </w:r>
      <w:r>
        <w:t>单击，在弹出的右键菜单中</w:t>
      </w:r>
      <w:r>
        <w:rPr>
          <w:rFonts w:hint="eastAsia"/>
        </w:rPr>
        <w:t>选择“显示</w:t>
      </w:r>
      <w:r>
        <w:t>设置</w:t>
      </w:r>
      <w:r>
        <w:rPr>
          <w:rFonts w:hint="eastAsia"/>
        </w:rPr>
        <w:t>”，在“显示设置”对话框中分别选择“In</w:t>
      </w:r>
      <w:r>
        <w:t>put1(t)</w:t>
      </w:r>
      <w:r>
        <w:rPr>
          <w:rFonts w:hint="eastAsia"/>
        </w:rPr>
        <w:t>”、“</w:t>
      </w:r>
      <w:r>
        <w:t>Input2</w:t>
      </w:r>
      <w:r>
        <w:rPr>
          <w:rFonts w:hint="eastAsia"/>
        </w:rPr>
        <w:t>(</w:t>
      </w:r>
      <w:r>
        <w:t>t</w:t>
      </w:r>
      <w:r>
        <w:rPr>
          <w:rFonts w:hint="eastAsia"/>
        </w:rPr>
        <w:t>)”，显示时域信号。同样操作，在第二行的左侧</w:t>
      </w:r>
      <w:r>
        <w:t>窗格中</w:t>
      </w:r>
      <w:r>
        <w:rPr>
          <w:rFonts w:hint="eastAsia"/>
        </w:rPr>
        <w:t>选择“G1,</w:t>
      </w:r>
      <w:r>
        <w:t>1(f)</w:t>
      </w:r>
      <w:r>
        <w:rPr>
          <w:rFonts w:hint="eastAsia"/>
        </w:rPr>
        <w:t>”，显示位移传感器的自功率谱信号。或者是直接从左侧“函数”栏中，将对应的信号拖到右侧窗格中显示。在自功率谱信号的Y轴坐标上单击</w:t>
      </w:r>
      <w:r>
        <w:t>鼠标右键</w:t>
      </w:r>
      <w:r>
        <w:rPr>
          <w:rFonts w:hint="eastAsia"/>
        </w:rPr>
        <w:t>，在弹出的选项中选“对数”，再次操作</w:t>
      </w:r>
      <w:r>
        <w:t>选择</w:t>
      </w:r>
      <w:r>
        <w:rPr>
          <w:rFonts w:hint="eastAsia"/>
        </w:rPr>
        <w:t>“Peak”，这时自功率谱信号窗格显示的是位移传感器信号的频域幅值谱。</w:t>
      </w:r>
    </w:p>
    <w:p w14:paraId="64F94AC1">
      <w:pPr>
        <w:pStyle w:val="15"/>
        <w:ind w:firstLine="480"/>
        <w:jc w:val="center"/>
      </w:pPr>
      <w:r>
        <w:drawing>
          <wp:inline distT="0" distB="0" distL="0" distR="0">
            <wp:extent cx="1205230" cy="2371725"/>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206386" cy="2372890"/>
                    </a:xfrm>
                    <a:prstGeom prst="rect">
                      <a:avLst/>
                    </a:prstGeom>
                    <a:noFill/>
                    <a:ln>
                      <a:noFill/>
                    </a:ln>
                  </pic:spPr>
                </pic:pic>
              </a:graphicData>
            </a:graphic>
          </wp:inline>
        </w:drawing>
      </w:r>
    </w:p>
    <w:p w14:paraId="31283118">
      <w:pPr>
        <w:pStyle w:val="15"/>
        <w:ind w:firstLine="480"/>
      </w:pPr>
      <w:r>
        <w:t>在时域信号的显示设置对话框中</w:t>
      </w:r>
      <w:r>
        <w:rPr>
          <w:rFonts w:hint="eastAsia"/>
        </w:rPr>
        <w:t>，还</w:t>
      </w:r>
      <w:r>
        <w:t>可勾选显示信号的特征值</w:t>
      </w:r>
      <w:r>
        <w:rPr>
          <w:rFonts w:hint="eastAsia"/>
        </w:rPr>
        <w:t>，</w:t>
      </w:r>
      <w:r>
        <w:t>如最大值</w:t>
      </w:r>
      <w:r>
        <w:rPr>
          <w:rFonts w:hint="eastAsia"/>
        </w:rPr>
        <w:t>、</w:t>
      </w:r>
      <w:r>
        <w:t>最小值</w:t>
      </w:r>
      <w:r>
        <w:rPr>
          <w:rFonts w:hint="eastAsia"/>
        </w:rPr>
        <w:t>、</w:t>
      </w:r>
      <w:r>
        <w:t>平均值</w:t>
      </w:r>
      <w:r>
        <w:rPr>
          <w:rFonts w:hint="eastAsia"/>
        </w:rPr>
        <w:t>、</w:t>
      </w:r>
      <w:r>
        <w:t>有效值等</w:t>
      </w:r>
      <w:r>
        <w:rPr>
          <w:rFonts w:hint="eastAsia"/>
        </w:rPr>
        <w:t>。</w:t>
      </w:r>
    </w:p>
    <w:p w14:paraId="26A73071">
      <w:pPr>
        <w:pStyle w:val="15"/>
        <w:ind w:firstLine="480"/>
        <w:jc w:val="center"/>
      </w:pPr>
      <w:r>
        <w:drawing>
          <wp:inline distT="0" distB="0" distL="0" distR="0">
            <wp:extent cx="3142615" cy="3891280"/>
            <wp:effectExtent l="0" t="0" r="635"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pic:cNvPicPr>
                      <a:picLocks noChangeAspect="1"/>
                    </pic:cNvPicPr>
                  </pic:nvPicPr>
                  <pic:blipFill>
                    <a:blip r:embed="rId26"/>
                    <a:stretch>
                      <a:fillRect/>
                    </a:stretch>
                  </pic:blipFill>
                  <pic:spPr>
                    <a:xfrm>
                      <a:off x="0" y="0"/>
                      <a:ext cx="3142800" cy="3891600"/>
                    </a:xfrm>
                    <a:prstGeom prst="rect">
                      <a:avLst/>
                    </a:prstGeom>
                  </pic:spPr>
                </pic:pic>
              </a:graphicData>
            </a:graphic>
          </wp:inline>
        </w:drawing>
      </w:r>
    </w:p>
    <w:p w14:paraId="368C99D6">
      <w:pPr>
        <w:pStyle w:val="15"/>
        <w:ind w:firstLine="480"/>
      </w:pPr>
      <w:r>
        <w:t>在第二行</w:t>
      </w:r>
      <w:r>
        <w:rPr>
          <w:rFonts w:hint="eastAsia"/>
        </w:rPr>
        <w:t>右侧</w:t>
      </w:r>
      <w:r>
        <w:t>窗格</w:t>
      </w:r>
      <w:r>
        <w:rPr>
          <w:rFonts w:hint="eastAsia"/>
        </w:rPr>
        <w:t>单</w:t>
      </w:r>
      <w:r>
        <w:t>击鼠标右键</w:t>
      </w:r>
      <w:r>
        <w:rPr>
          <w:rFonts w:hint="eastAsia"/>
        </w:rPr>
        <w:t>，</w:t>
      </w:r>
      <w:r>
        <w:t>在弹出的右键菜单中选择</w:t>
      </w:r>
      <w:r>
        <w:rPr>
          <w:rFonts w:hint="eastAsia"/>
        </w:rPr>
        <w:t>“函数计算”。</w:t>
      </w:r>
    </w:p>
    <w:p w14:paraId="729F3FEC">
      <w:pPr>
        <w:ind w:firstLine="199" w:firstLineChars="83"/>
        <w:jc w:val="center"/>
      </w:pPr>
      <w:r>
        <w:drawing>
          <wp:inline distT="0" distB="0" distL="0" distR="0">
            <wp:extent cx="1047115" cy="2577465"/>
            <wp:effectExtent l="0" t="0" r="635"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047600" cy="2577600"/>
                    </a:xfrm>
                    <a:prstGeom prst="rect">
                      <a:avLst/>
                    </a:prstGeom>
                    <a:noFill/>
                    <a:ln>
                      <a:noFill/>
                    </a:ln>
                  </pic:spPr>
                </pic:pic>
              </a:graphicData>
            </a:graphic>
          </wp:inline>
        </w:drawing>
      </w:r>
    </w:p>
    <w:p w14:paraId="7E9C5CE8">
      <w:pPr>
        <w:pStyle w:val="15"/>
        <w:ind w:firstLine="480"/>
      </w:pPr>
      <w:r>
        <w:rPr>
          <w:rFonts w:hint="eastAsia"/>
        </w:rPr>
        <w:t>在弹出的“用户定义函数”对话框中，选择“分析计算——Tacho(x)”，右侧的“x=”选择“Input2(t)”，光电式转速传感器对应的“每转脉冲数”根据反光贴纸/黑贴纸的数量来设置，触发沿可以是上升沿或下降沿，低电平和高电平根据传感器的信号区间来设定，本次实验的光电式传感器电压范围为0~5V，我们选取中间一段，低电平可以设置为3V，高电平设置为4V，或者根据实际时域信号的区间取中间值，确定。</w:t>
      </w:r>
    </w:p>
    <w:p w14:paraId="41A40658">
      <w:pPr>
        <w:ind w:firstLine="199" w:firstLineChars="83"/>
        <w:jc w:val="center"/>
      </w:pPr>
      <w:r>
        <w:drawing>
          <wp:inline distT="0" distB="0" distL="0" distR="0">
            <wp:extent cx="5278120" cy="3312795"/>
            <wp:effectExtent l="0" t="0" r="0" b="190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pic:cNvPicPr>
                      <a:picLocks noChangeAspect="1"/>
                    </pic:cNvPicPr>
                  </pic:nvPicPr>
                  <pic:blipFill>
                    <a:blip r:embed="rId28"/>
                    <a:stretch>
                      <a:fillRect/>
                    </a:stretch>
                  </pic:blipFill>
                  <pic:spPr>
                    <a:xfrm>
                      <a:off x="0" y="0"/>
                      <a:ext cx="5278120" cy="3312876"/>
                    </a:xfrm>
                    <a:prstGeom prst="rect">
                      <a:avLst/>
                    </a:prstGeom>
                  </pic:spPr>
                </pic:pic>
              </a:graphicData>
            </a:graphic>
          </wp:inline>
        </w:drawing>
      </w:r>
    </w:p>
    <w:p w14:paraId="0177E0FC">
      <w:pPr>
        <w:pStyle w:val="15"/>
        <w:ind w:firstLine="480"/>
      </w:pPr>
      <w:r>
        <w:t>这样</w:t>
      </w:r>
      <w:r>
        <w:rPr>
          <w:rFonts w:hint="eastAsia"/>
        </w:rPr>
        <w:t>，</w:t>
      </w:r>
      <w:r>
        <w:t>让时频显示</w:t>
      </w:r>
      <w:r>
        <w:rPr>
          <w:rFonts w:hint="eastAsia"/>
        </w:rPr>
        <w:t>1的4个窗格分别显示“In</w:t>
      </w:r>
      <w:r>
        <w:t>put1</w:t>
      </w:r>
      <w:r>
        <w:rPr>
          <w:rFonts w:hint="eastAsia"/>
        </w:rPr>
        <w:t>(</w:t>
      </w:r>
      <w:r>
        <w:t>t</w:t>
      </w:r>
      <w:r>
        <w:rPr>
          <w:rFonts w:hint="eastAsia"/>
        </w:rPr>
        <w:t>)、</w:t>
      </w:r>
      <w:r>
        <w:t>Input2</w:t>
      </w:r>
      <w:r>
        <w:rPr>
          <w:rFonts w:hint="eastAsia"/>
        </w:rPr>
        <w:t>(</w:t>
      </w:r>
      <w:r>
        <w:t>t</w:t>
      </w:r>
      <w:r>
        <w:rPr>
          <w:rFonts w:hint="eastAsia"/>
        </w:rPr>
        <w:t>)、G1,</w:t>
      </w:r>
      <w:r>
        <w:t>1(f)</w:t>
      </w:r>
      <w:r>
        <w:rPr>
          <w:rFonts w:hint="eastAsia"/>
        </w:rPr>
        <w:t xml:space="preserve"> 、Tacho(</w:t>
      </w:r>
      <w:r>
        <w:t>Input2</w:t>
      </w:r>
      <w:r>
        <w:rPr>
          <w:rFonts w:hint="eastAsia"/>
        </w:rPr>
        <w:t>(</w:t>
      </w:r>
      <w:r>
        <w:t>t</w:t>
      </w:r>
      <w:r>
        <w:rPr>
          <w:rFonts w:hint="eastAsia"/>
        </w:rPr>
        <w:t>))”。</w:t>
      </w:r>
    </w:p>
    <w:p w14:paraId="4058A956">
      <w:pPr>
        <w:pStyle w:val="15"/>
        <w:ind w:firstLine="0" w:firstLineChars="0"/>
        <w:rPr>
          <w:kern w:val="0"/>
        </w:rPr>
      </w:pPr>
      <w:r>
        <w:drawing>
          <wp:inline distT="0" distB="0" distL="0" distR="0">
            <wp:extent cx="5278120" cy="2783205"/>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pic:cNvPicPr>
                      <a:picLocks noChangeAspect="1"/>
                    </pic:cNvPicPr>
                  </pic:nvPicPr>
                  <pic:blipFill>
                    <a:blip r:embed="rId29"/>
                    <a:stretch>
                      <a:fillRect/>
                    </a:stretch>
                  </pic:blipFill>
                  <pic:spPr>
                    <a:xfrm>
                      <a:off x="0" y="0"/>
                      <a:ext cx="5278120" cy="2783231"/>
                    </a:xfrm>
                    <a:prstGeom prst="rect">
                      <a:avLst/>
                    </a:prstGeom>
                  </pic:spPr>
                </pic:pic>
              </a:graphicData>
            </a:graphic>
          </wp:inline>
        </w:drawing>
      </w:r>
    </w:p>
    <w:p w14:paraId="5A40D237">
      <w:pPr>
        <w:pStyle w:val="15"/>
        <w:numPr>
          <w:ilvl w:val="0"/>
          <w:numId w:val="9"/>
        </w:numPr>
        <w:ind w:left="465" w:firstLine="15" w:firstLineChars="0"/>
      </w:pPr>
      <w:r>
        <w:rPr>
          <w:rFonts w:hint="eastAsia"/>
        </w:rPr>
        <w:t>实时数据记录的设置</w:t>
      </w:r>
    </w:p>
    <w:p w14:paraId="09CC0122">
      <w:pPr>
        <w:pStyle w:val="15"/>
        <w:ind w:firstLine="480"/>
      </w:pPr>
      <w:r>
        <w:rPr>
          <w:rFonts w:hint="eastAsia"/>
        </w:rPr>
        <w:t>点击工具栏上的</w:t>
      </w:r>
      <w:r>
        <w:rPr>
          <w:rFonts w:hint="eastAsia"/>
        </w:rPr>
        <w:drawing>
          <wp:inline distT="0" distB="0" distL="0" distR="0">
            <wp:extent cx="257175" cy="238125"/>
            <wp:effectExtent l="0" t="0" r="9525"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57175" cy="238125"/>
                    </a:xfrm>
                    <a:prstGeom prst="rect">
                      <a:avLst/>
                    </a:prstGeom>
                    <a:noFill/>
                    <a:ln>
                      <a:noFill/>
                    </a:ln>
                  </pic:spPr>
                </pic:pic>
              </a:graphicData>
            </a:graphic>
          </wp:inline>
        </w:drawing>
      </w:r>
      <w:r>
        <w:rPr>
          <w:rFonts w:hint="eastAsia"/>
        </w:rPr>
        <w:t>，进行数据记录的存储设置。在“数据记录”下，将需要记录数据的输入通道类型设置为“存储”。</w:t>
      </w:r>
    </w:p>
    <w:p w14:paraId="660887CE">
      <w:pPr>
        <w:pStyle w:val="15"/>
        <w:ind w:firstLine="0" w:firstLineChars="0"/>
        <w:jc w:val="center"/>
      </w:pPr>
      <w:r>
        <w:drawing>
          <wp:inline distT="0" distB="0" distL="0" distR="0">
            <wp:extent cx="3639185" cy="3211195"/>
            <wp:effectExtent l="0" t="0" r="0" b="825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pic:cNvPicPr>
                      <a:picLocks noChangeAspect="1"/>
                    </pic:cNvPicPr>
                  </pic:nvPicPr>
                  <pic:blipFill>
                    <a:blip r:embed="rId31"/>
                    <a:stretch>
                      <a:fillRect/>
                    </a:stretch>
                  </pic:blipFill>
                  <pic:spPr>
                    <a:xfrm>
                      <a:off x="0" y="0"/>
                      <a:ext cx="3639600" cy="3211200"/>
                    </a:xfrm>
                    <a:prstGeom prst="rect">
                      <a:avLst/>
                    </a:prstGeom>
                  </pic:spPr>
                </pic:pic>
              </a:graphicData>
            </a:graphic>
          </wp:inline>
        </w:drawing>
      </w:r>
    </w:p>
    <w:p w14:paraId="0A9E099D">
      <w:pPr>
        <w:pStyle w:val="15"/>
        <w:numPr>
          <w:ilvl w:val="0"/>
          <w:numId w:val="9"/>
        </w:numPr>
        <w:ind w:left="465" w:firstLine="15" w:firstLineChars="0"/>
      </w:pPr>
      <w:r>
        <w:rPr>
          <w:rFonts w:hint="eastAsia"/>
        </w:rPr>
        <w:t>开始采集数据</w:t>
      </w:r>
    </w:p>
    <w:p w14:paraId="190C1B9C">
      <w:pPr>
        <w:pStyle w:val="15"/>
        <w:ind w:firstLine="480"/>
      </w:pPr>
      <w:r>
        <w:rPr>
          <w:rFonts w:hint="eastAsia"/>
        </w:rPr>
        <w:t>再次确认试验连线和参数设置。</w:t>
      </w:r>
    </w:p>
    <w:p w14:paraId="5209C7D2">
      <w:pPr>
        <w:pStyle w:val="15"/>
        <w:ind w:firstLine="480"/>
      </w:pPr>
      <w:r>
        <w:rPr>
          <w:rFonts w:hint="eastAsia"/>
        </w:rPr>
        <w:t>确认转子教学模拟平台的转速调整旋钮为逆时针到底状态，接通转子实验台电源。打开MI-2100传感器适配器电源。</w:t>
      </w:r>
    </w:p>
    <w:p w14:paraId="0AD9FEC6">
      <w:pPr>
        <w:pStyle w:val="15"/>
        <w:ind w:firstLine="480"/>
      </w:pPr>
      <w:r>
        <w:rPr>
          <w:rFonts w:hint="eastAsia"/>
        </w:rPr>
        <w:t>如果需要记录数据，则点击右侧控制面板的</w:t>
      </w:r>
      <w:r>
        <w:rPr>
          <w:rFonts w:hint="eastAsia"/>
        </w:rPr>
        <w:drawing>
          <wp:inline distT="0" distB="0" distL="0" distR="0">
            <wp:extent cx="240665" cy="240665"/>
            <wp:effectExtent l="0" t="0" r="6985" b="698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41200" cy="241200"/>
                    </a:xfrm>
                    <a:prstGeom prst="rect">
                      <a:avLst/>
                    </a:prstGeom>
                    <a:noFill/>
                    <a:ln>
                      <a:noFill/>
                    </a:ln>
                  </pic:spPr>
                </pic:pic>
              </a:graphicData>
            </a:graphic>
          </wp:inline>
        </w:drawing>
      </w:r>
      <w:r>
        <w:rPr>
          <w:rFonts w:hint="eastAsia"/>
        </w:rPr>
        <w:t>按钮，表示启用数据记录。</w:t>
      </w:r>
    </w:p>
    <w:p w14:paraId="53CB6F14">
      <w:pPr>
        <w:pStyle w:val="15"/>
        <w:ind w:firstLine="480"/>
      </w:pPr>
      <w:r>
        <w:rPr>
          <w:rFonts w:hint="eastAsia"/>
        </w:rPr>
        <w:t>点击</w:t>
      </w:r>
      <w:r>
        <w:drawing>
          <wp:inline distT="0" distB="0" distL="0" distR="0">
            <wp:extent cx="215265" cy="2152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cstate="print"/>
                    <a:stretch>
                      <a:fillRect/>
                    </a:stretch>
                  </pic:blipFill>
                  <pic:spPr>
                    <a:xfrm flipV="1">
                      <a:off x="0" y="0"/>
                      <a:ext cx="216951" cy="216951"/>
                    </a:xfrm>
                    <a:prstGeom prst="rect">
                      <a:avLst/>
                    </a:prstGeom>
                  </pic:spPr>
                </pic:pic>
              </a:graphicData>
            </a:graphic>
          </wp:inline>
        </w:drawing>
      </w:r>
      <w:r>
        <w:rPr>
          <w:rFonts w:hint="eastAsia"/>
        </w:rPr>
        <w:t>按钮，开始测试，时频显示1窗口显示信号数据。</w:t>
      </w:r>
    </w:p>
    <w:p w14:paraId="50CBFEB2">
      <w:pPr>
        <w:pStyle w:val="15"/>
        <w:ind w:firstLine="480"/>
      </w:pPr>
      <w:r>
        <w:rPr>
          <w:rFonts w:hint="eastAsia"/>
        </w:rPr>
        <w:t>从0 RPM开始，以每秒增加约50RPM的速度，由低到高增加电机的转速直到2500 RPM，同时观察转速传感器当前的转速值，位移传感器采集到的时域信号、频谱幅值信号，进行比较。</w:t>
      </w:r>
    </w:p>
    <w:p w14:paraId="2F0C27D8">
      <w:pPr>
        <w:pStyle w:val="15"/>
        <w:numPr>
          <w:ilvl w:val="0"/>
          <w:numId w:val="9"/>
        </w:numPr>
        <w:ind w:left="465" w:firstLine="15" w:firstLineChars="0"/>
      </w:pPr>
      <w:r>
        <w:rPr>
          <w:rFonts w:hint="eastAsia"/>
        </w:rPr>
        <w:t>离线分析</w:t>
      </w:r>
    </w:p>
    <w:p w14:paraId="6EE6FEF0">
      <w:pPr>
        <w:pStyle w:val="15"/>
        <w:ind w:firstLine="480"/>
      </w:pPr>
      <w:r>
        <w:rPr>
          <w:rFonts w:hint="eastAsia"/>
        </w:rPr>
        <w:t>点击工具栏上的</w:t>
      </w:r>
      <w:r>
        <w:rPr>
          <w:rFonts w:hint="eastAsia"/>
        </w:rPr>
        <w:drawing>
          <wp:inline distT="0" distB="0" distL="0" distR="0">
            <wp:extent cx="228600" cy="20002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28600" cy="200025"/>
                    </a:xfrm>
                    <a:prstGeom prst="rect">
                      <a:avLst/>
                    </a:prstGeom>
                    <a:noFill/>
                    <a:ln>
                      <a:noFill/>
                    </a:ln>
                  </pic:spPr>
                </pic:pic>
              </a:graphicData>
            </a:graphic>
          </wp:inline>
        </w:drawing>
      </w:r>
      <w:r>
        <w:rPr>
          <w:rFonts w:hint="eastAsia"/>
        </w:rPr>
        <w:t>，打开离线分析软件。单击“动态信号分析”按钮，进入动态信号分析的离线分析界面。</w:t>
      </w:r>
    </w:p>
    <w:p w14:paraId="102BC867">
      <w:pPr>
        <w:pStyle w:val="15"/>
        <w:ind w:firstLine="0" w:firstLineChars="0"/>
      </w:pPr>
      <w:r>
        <w:drawing>
          <wp:inline distT="0" distB="0" distL="0" distR="0">
            <wp:extent cx="4658360" cy="1904365"/>
            <wp:effectExtent l="0" t="0" r="8890" b="63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35"/>
                    <a:stretch>
                      <a:fillRect/>
                    </a:stretch>
                  </pic:blipFill>
                  <pic:spPr>
                    <a:xfrm>
                      <a:off x="0" y="0"/>
                      <a:ext cx="4658400" cy="1904400"/>
                    </a:xfrm>
                    <a:prstGeom prst="rect">
                      <a:avLst/>
                    </a:prstGeom>
                  </pic:spPr>
                </pic:pic>
              </a:graphicData>
            </a:graphic>
          </wp:inline>
        </w:drawing>
      </w:r>
    </w:p>
    <w:p w14:paraId="5B5A758C">
      <w:pPr>
        <w:pStyle w:val="15"/>
        <w:ind w:firstLine="480"/>
      </w:pPr>
      <w:r>
        <w:rPr>
          <w:rFonts w:hint="eastAsia"/>
        </w:rPr>
        <w:t>在弹出的“信号数据”对话框中，单击第一行的“数据文件”列，在弹出的打开文件对话框中，进入刚才数据记录文件所在的目录，选择“.dar”格式的数据记录文件打开。</w:t>
      </w:r>
    </w:p>
    <w:p w14:paraId="6F00E9A2">
      <w:pPr>
        <w:ind w:firstLine="0" w:firstLineChars="0"/>
      </w:pPr>
      <w:r>
        <w:drawing>
          <wp:inline distT="0" distB="0" distL="0" distR="0">
            <wp:extent cx="5278120" cy="2783205"/>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a:picLocks noChangeAspect="1"/>
                    </pic:cNvPicPr>
                  </pic:nvPicPr>
                  <pic:blipFill>
                    <a:blip r:embed="rId36"/>
                    <a:stretch>
                      <a:fillRect/>
                    </a:stretch>
                  </pic:blipFill>
                  <pic:spPr>
                    <a:xfrm>
                      <a:off x="0" y="0"/>
                      <a:ext cx="5278120" cy="2783205"/>
                    </a:xfrm>
                    <a:prstGeom prst="rect">
                      <a:avLst/>
                    </a:prstGeom>
                  </pic:spPr>
                </pic:pic>
              </a:graphicData>
            </a:graphic>
          </wp:inline>
        </w:drawing>
      </w:r>
    </w:p>
    <w:p w14:paraId="0F678EAC">
      <w:pPr>
        <w:pStyle w:val="15"/>
        <w:ind w:firstLine="480"/>
      </w:pPr>
      <w:r>
        <w:rPr>
          <w:rFonts w:hint="eastAsia"/>
        </w:rPr>
        <w:t>浏览文件窗口可以看到在线测试整个过程的数据记录信号的缩略图。窗口中的红竖线可拖动，红线位置为数据分析的起点。</w:t>
      </w:r>
    </w:p>
    <w:p w14:paraId="271B6D59">
      <w:pPr>
        <w:pStyle w:val="15"/>
        <w:ind w:firstLine="480"/>
      </w:pPr>
      <w:r>
        <w:rPr>
          <w:rFonts w:hint="eastAsia"/>
        </w:rPr>
        <w:t>点击工具栏上的</w:t>
      </w:r>
      <w:r>
        <w:rPr>
          <w:rFonts w:hint="eastAsia"/>
        </w:rPr>
        <w:drawing>
          <wp:inline distT="0" distB="0" distL="0" distR="0">
            <wp:extent cx="228600" cy="200025"/>
            <wp:effectExtent l="0" t="0" r="0" b="952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28600" cy="200025"/>
                    </a:xfrm>
                    <a:prstGeom prst="rect">
                      <a:avLst/>
                    </a:prstGeom>
                    <a:noFill/>
                    <a:ln>
                      <a:noFill/>
                    </a:ln>
                  </pic:spPr>
                </pic:pic>
              </a:graphicData>
            </a:graphic>
          </wp:inline>
        </w:drawing>
      </w:r>
      <w:r>
        <w:rPr>
          <w:rFonts w:hint="eastAsia"/>
        </w:rPr>
        <w:t>按钮，新建“时频显示1”窗口，</w:t>
      </w:r>
      <w:r>
        <w:t>跟在线测量同样操作</w:t>
      </w:r>
      <w:r>
        <w:rPr>
          <w:rFonts w:hint="eastAsia"/>
        </w:rPr>
        <w:t>，</w:t>
      </w:r>
      <w:r>
        <w:t>让</w:t>
      </w:r>
      <w:r>
        <w:rPr>
          <w:rFonts w:hint="eastAsia"/>
        </w:rPr>
        <w:t>“时频显示1”的4个窗格分别显示“In</w:t>
      </w:r>
      <w:r>
        <w:t>put1</w:t>
      </w:r>
      <w:r>
        <w:rPr>
          <w:rFonts w:hint="eastAsia"/>
        </w:rPr>
        <w:t>(</w:t>
      </w:r>
      <w:r>
        <w:t>t</w:t>
      </w:r>
      <w:r>
        <w:rPr>
          <w:rFonts w:hint="eastAsia"/>
        </w:rPr>
        <w:t>)、</w:t>
      </w:r>
      <w:r>
        <w:t>Input2</w:t>
      </w:r>
      <w:r>
        <w:rPr>
          <w:rFonts w:hint="eastAsia"/>
        </w:rPr>
        <w:t>(</w:t>
      </w:r>
      <w:r>
        <w:t>t</w:t>
      </w:r>
      <w:r>
        <w:rPr>
          <w:rFonts w:hint="eastAsia"/>
        </w:rPr>
        <w:t>)、G1,</w:t>
      </w:r>
      <w:r>
        <w:t>1(f)</w:t>
      </w:r>
      <w:r>
        <w:rPr>
          <w:rFonts w:hint="eastAsia"/>
        </w:rPr>
        <w:t xml:space="preserve"> 、Tacho(</w:t>
      </w:r>
      <w:r>
        <w:t>Input2</w:t>
      </w:r>
      <w:r>
        <w:rPr>
          <w:rFonts w:hint="eastAsia"/>
        </w:rPr>
        <w:t>(</w:t>
      </w:r>
      <w:r>
        <w:t>t</w:t>
      </w:r>
      <w:r>
        <w:rPr>
          <w:rFonts w:hint="eastAsia"/>
        </w:rPr>
        <w:t>))”。</w:t>
      </w:r>
    </w:p>
    <w:p w14:paraId="716615BB">
      <w:pPr>
        <w:pStyle w:val="15"/>
        <w:ind w:firstLine="480"/>
      </w:pPr>
      <w:r>
        <w:rPr>
          <w:rFonts w:hint="eastAsia"/>
        </w:rPr>
        <w:t>点击工具栏上的</w:t>
      </w:r>
      <w:r>
        <w:drawing>
          <wp:inline distT="0" distB="0" distL="0" distR="0">
            <wp:extent cx="217805" cy="207010"/>
            <wp:effectExtent l="0" t="0" r="0" b="254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23"/>
                    <a:stretch>
                      <a:fillRect/>
                    </a:stretch>
                  </pic:blipFill>
                  <pic:spPr>
                    <a:xfrm>
                      <a:off x="0" y="0"/>
                      <a:ext cx="233324" cy="221657"/>
                    </a:xfrm>
                    <a:prstGeom prst="rect">
                      <a:avLst/>
                    </a:prstGeom>
                  </pic:spPr>
                </pic:pic>
              </a:graphicData>
            </a:graphic>
          </wp:inline>
        </w:drawing>
      </w:r>
      <w:r>
        <w:rPr>
          <w:rFonts w:hint="eastAsia"/>
        </w:rPr>
        <w:t>，进行分析参数设置。采样参数中，可以根据需要选择一帧查看信号的长度即设置“采样点数”参数，最长为131072点。加窗类型设置为“Hanning”，“触发参数”的“运行模式”设置为“手动运行”。</w:t>
      </w:r>
    </w:p>
    <w:p w14:paraId="7C9F2D1D">
      <w:pPr>
        <w:pStyle w:val="15"/>
        <w:ind w:firstLine="0" w:firstLineChars="0"/>
        <w:jc w:val="center"/>
      </w:pPr>
      <w:r>
        <w:drawing>
          <wp:inline distT="0" distB="0" distL="0" distR="0">
            <wp:extent cx="3134995" cy="3808730"/>
            <wp:effectExtent l="0" t="0" r="8255" b="127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pic:cNvPicPr>
                      <a:picLocks noChangeAspect="1"/>
                    </pic:cNvPicPr>
                  </pic:nvPicPr>
                  <pic:blipFill>
                    <a:blip r:embed="rId38"/>
                    <a:stretch>
                      <a:fillRect/>
                    </a:stretch>
                  </pic:blipFill>
                  <pic:spPr>
                    <a:xfrm>
                      <a:off x="0" y="0"/>
                      <a:ext cx="3135600" cy="3808800"/>
                    </a:xfrm>
                    <a:prstGeom prst="rect">
                      <a:avLst/>
                    </a:prstGeom>
                  </pic:spPr>
                </pic:pic>
              </a:graphicData>
            </a:graphic>
          </wp:inline>
        </w:drawing>
      </w:r>
    </w:p>
    <w:p w14:paraId="4DDE5853">
      <w:pPr>
        <w:pStyle w:val="15"/>
        <w:ind w:firstLine="480"/>
      </w:pPr>
      <w:r>
        <w:rPr>
          <w:rFonts w:hint="eastAsia"/>
        </w:rPr>
        <w:t>开始测试，就可以回看电机从启动直到2500 RPM过程中的转速的变化，位移信号的时域和频谱幅值的变化过程。</w:t>
      </w:r>
    </w:p>
    <w:p w14:paraId="039DDD76">
      <w:pPr>
        <w:pStyle w:val="15"/>
        <w:ind w:firstLine="480"/>
      </w:pPr>
      <w:r>
        <w:rPr>
          <w:rFonts w:hint="eastAsia"/>
        </w:rPr>
        <w:t>使用频域峰值保持平均，“自由运行”模式，查看自功率谱函数的峰值保持曲线，可以看到过程中幅值随频率的变化情况，幅值最大值出现的频率位置，从频率也能计算当时的转速信息与光电式转速传感器测量到的转速值做比较。</w:t>
      </w:r>
    </w:p>
    <w:p w14:paraId="58152E34">
      <w:pPr>
        <w:pStyle w:val="15"/>
        <w:numPr>
          <w:ilvl w:val="0"/>
          <w:numId w:val="9"/>
        </w:numPr>
        <w:ind w:left="465" w:firstLine="15" w:firstLineChars="0"/>
      </w:pPr>
      <w:r>
        <w:rPr>
          <w:rFonts w:hint="eastAsia"/>
        </w:rPr>
        <w:t>悬臂梁共振试验</w:t>
      </w:r>
    </w:p>
    <w:p w14:paraId="3A0E2EC8">
      <w:pPr>
        <w:pStyle w:val="15"/>
        <w:ind w:firstLine="480"/>
      </w:pPr>
      <w:r>
        <w:t>从离线分析</w:t>
      </w:r>
      <w:r>
        <w:rPr>
          <w:rFonts w:hint="eastAsia"/>
        </w:rPr>
        <w:t>，</w:t>
      </w:r>
      <w:r>
        <w:t>查看电涡流位移传感器时域</w:t>
      </w:r>
      <w:r>
        <w:rPr>
          <w:rFonts w:hint="eastAsia"/>
        </w:rPr>
        <w:t>、</w:t>
      </w:r>
      <w:r>
        <w:t>自功率谱幅值最大时刻对应的转速</w:t>
      </w:r>
      <w:r>
        <w:rPr>
          <w:rFonts w:hint="eastAsia"/>
        </w:rPr>
        <w:t>。调整电机转速到相应的位置，查看悬臂梁的共振现象。测试记录悬臂梁共振时的电机转速、位移幅值。</w:t>
      </w:r>
    </w:p>
    <w:p w14:paraId="2C2D0985">
      <w:pPr>
        <w:pStyle w:val="15"/>
        <w:numPr>
          <w:ilvl w:val="0"/>
          <w:numId w:val="2"/>
        </w:numPr>
        <w:ind w:left="425" w:hanging="431" w:firstLineChars="0"/>
        <w:outlineLvl w:val="1"/>
        <w:rPr>
          <w:b/>
          <w:bCs/>
        </w:rPr>
      </w:pPr>
      <w:r>
        <w:rPr>
          <w:rFonts w:hint="eastAsia"/>
          <w:b/>
          <w:bCs/>
        </w:rPr>
        <w:t>实验知识点</w:t>
      </w:r>
    </w:p>
    <w:p w14:paraId="74480124">
      <w:pPr>
        <w:pStyle w:val="15"/>
        <w:numPr>
          <w:ilvl w:val="0"/>
          <w:numId w:val="10"/>
        </w:numPr>
        <w:ind w:left="851" w:firstLineChars="0"/>
      </w:pPr>
      <w:r>
        <w:rPr>
          <w:rFonts w:hint="eastAsia"/>
        </w:rPr>
        <w:t>振动测量，包括：振动传感器的使用，振动传感器数据采集、灵敏度设置、时域及频域波形采集、显示。</w:t>
      </w:r>
    </w:p>
    <w:p w14:paraId="299B1AF6">
      <w:pPr>
        <w:pStyle w:val="15"/>
        <w:numPr>
          <w:ilvl w:val="0"/>
          <w:numId w:val="10"/>
        </w:numPr>
        <w:ind w:left="851" w:firstLineChars="0"/>
      </w:pPr>
      <w:r>
        <w:rPr>
          <w:rFonts w:hint="eastAsia"/>
        </w:rPr>
        <w:t>光电式转速测量。</w:t>
      </w:r>
    </w:p>
    <w:p w14:paraId="4BF353A5">
      <w:pPr>
        <w:pStyle w:val="15"/>
        <w:numPr>
          <w:ilvl w:val="0"/>
          <w:numId w:val="10"/>
        </w:numPr>
        <w:ind w:left="851" w:firstLineChars="0"/>
      </w:pPr>
      <w:r>
        <w:rPr>
          <w:rFonts w:hint="eastAsia"/>
        </w:rPr>
        <w:t>知道转速和频率的换算关系：</w:t>
      </w:r>
      <m:oMath>
        <m:r>
          <m:rPr/>
          <w:rPr>
            <w:rFonts w:ascii="Cambria Math" w:hAnsi="Cambria Math"/>
          </w:rPr>
          <m:t>f</m:t>
        </m:r>
        <m:r>
          <m:rPr>
            <m:sty m:val="p"/>
          </m:rPr>
          <w:rPr>
            <w:rFonts w:ascii="Cambria Math" w:hAnsi="Cambria Math"/>
          </w:rPr>
          <m:t>=RPM/60</m:t>
        </m:r>
      </m:oMath>
      <w:r>
        <w:rPr>
          <w:rFonts w:hint="eastAsia"/>
        </w:rPr>
        <w:t>。</w:t>
      </w:r>
    </w:p>
    <w:p w14:paraId="10277745">
      <w:pPr>
        <w:pStyle w:val="15"/>
        <w:numPr>
          <w:ilvl w:val="0"/>
          <w:numId w:val="10"/>
        </w:numPr>
        <w:ind w:left="851" w:firstLineChars="0"/>
      </w:pPr>
      <w:r>
        <w:rPr>
          <w:rFonts w:hint="eastAsia"/>
        </w:rPr>
        <w:t>共振发生和测量</w:t>
      </w:r>
    </w:p>
    <w:p w14:paraId="199DCEBF">
      <w:pPr>
        <w:pStyle w:val="15"/>
        <w:ind w:left="425" w:leftChars="177" w:firstLine="480"/>
      </w:pPr>
      <w:r>
        <w:rPr>
          <w:rFonts w:hint="eastAsia"/>
        </w:rPr>
        <w:t>共振</w:t>
      </w:r>
      <w:r>
        <w:t>(resonance)是指一物理系统在特定频率下，比其他频率以更大的振幅做振动的情形;这些特定频率称之为共振频率。在共振频率下，很小的周期振动便可产生很大的振动，因为系统储存了动能。当阻力很小时，共振频率大约与系统自然频率或称固有频率相等，后者是自由振荡时的频率。</w:t>
      </w:r>
    </w:p>
    <w:p w14:paraId="24FE74EE">
      <w:pPr>
        <w:pStyle w:val="15"/>
        <w:ind w:left="425" w:leftChars="177" w:firstLine="480"/>
      </w:pPr>
      <w:r>
        <w:rPr>
          <w:rFonts w:hint="eastAsia"/>
        </w:rPr>
        <w:t>本实验使电机转速从</w:t>
      </w:r>
      <w:r>
        <w:t>0</w:t>
      </w:r>
      <w:r>
        <w:rPr>
          <w:rFonts w:hint="eastAsia"/>
        </w:rPr>
        <w:t xml:space="preserve"> RPM</w:t>
      </w:r>
      <w:r>
        <w:t>开始，从小到大调节电机的转速。使用</w:t>
      </w:r>
      <w:r>
        <w:rPr>
          <w:rFonts w:hint="eastAsia"/>
        </w:rPr>
        <w:t>位移</w:t>
      </w:r>
      <w:r>
        <w:t>传感器</w:t>
      </w:r>
      <w:r>
        <w:rPr>
          <w:rFonts w:hint="eastAsia"/>
        </w:rPr>
        <w:t>检测</w:t>
      </w:r>
      <w:r>
        <w:t>电机</w:t>
      </w:r>
      <w:r>
        <w:rPr>
          <w:rFonts w:hint="eastAsia"/>
        </w:rPr>
        <w:t>的转速</w:t>
      </w:r>
      <w:r>
        <w:t>从0</w:t>
      </w:r>
      <w:r>
        <w:rPr>
          <w:rFonts w:hint="eastAsia"/>
        </w:rPr>
        <w:t xml:space="preserve"> RPM增加</w:t>
      </w:r>
      <w:r>
        <w:t>到</w:t>
      </w:r>
      <w:r>
        <w:rPr>
          <w:rFonts w:hint="eastAsia"/>
        </w:rPr>
        <w:t>25</w:t>
      </w:r>
      <w:r>
        <w:t>00</w:t>
      </w:r>
      <w:r>
        <w:rPr>
          <w:rFonts w:hint="eastAsia"/>
        </w:rPr>
        <w:t xml:space="preserve"> RPM过程中</w:t>
      </w:r>
      <w:r>
        <w:t>的连续波形。从采集到的波形可以</w:t>
      </w:r>
      <w:r>
        <w:rPr>
          <w:rFonts w:hint="eastAsia"/>
        </w:rPr>
        <w:t>观察到</w:t>
      </w:r>
      <w:r>
        <w:t>试验台在达到某一转速后，振动急速加剧又急速衰减。即电机达到此转速时，</w:t>
      </w:r>
      <w:r>
        <w:rPr>
          <w:rFonts w:hint="eastAsia"/>
        </w:rPr>
        <w:t>电机转子</w:t>
      </w:r>
      <w:r>
        <w:t>产生共振现象。</w:t>
      </w:r>
    </w:p>
    <w:p w14:paraId="51B01C4B">
      <w:pPr>
        <w:pStyle w:val="15"/>
        <w:numPr>
          <w:ilvl w:val="0"/>
          <w:numId w:val="2"/>
        </w:numPr>
        <w:ind w:left="425" w:hanging="431" w:firstLineChars="0"/>
        <w:outlineLvl w:val="1"/>
        <w:rPr>
          <w:b/>
          <w:bCs/>
        </w:rPr>
      </w:pPr>
      <w:r>
        <w:rPr>
          <w:rFonts w:hint="eastAsia"/>
          <w:b/>
          <w:bCs/>
        </w:rPr>
        <w:t>注意事项</w:t>
      </w:r>
    </w:p>
    <w:p w14:paraId="7C06957A">
      <w:pPr>
        <w:pStyle w:val="15"/>
        <w:numPr>
          <w:ilvl w:val="0"/>
          <w:numId w:val="4"/>
        </w:numPr>
        <w:ind w:left="851" w:firstLineChars="0"/>
      </w:pPr>
      <w:r>
        <w:rPr>
          <w:rFonts w:hint="eastAsia"/>
        </w:rPr>
        <w:t>在转子教学实验模拟平台连接电源前，旋钮调零。</w:t>
      </w:r>
    </w:p>
    <w:p w14:paraId="2E2A5EEA">
      <w:pPr>
        <w:pStyle w:val="15"/>
        <w:numPr>
          <w:ilvl w:val="0"/>
          <w:numId w:val="4"/>
        </w:numPr>
        <w:ind w:left="851" w:firstLineChars="0"/>
      </w:pPr>
      <w:r>
        <w:rPr>
          <w:rFonts w:hint="eastAsia"/>
        </w:rPr>
        <w:t>实验时，需要慢慢调整电机的转速旋钮，且最大转速不超过6</w:t>
      </w:r>
      <w:r>
        <w:t>000</w:t>
      </w:r>
      <w:r>
        <w:rPr>
          <w:rFonts w:hint="eastAsia"/>
        </w:rPr>
        <w:t xml:space="preserve"> RPM。</w:t>
      </w:r>
    </w:p>
    <w:p w14:paraId="736E3E8B">
      <w:pPr>
        <w:pStyle w:val="15"/>
        <w:numPr>
          <w:ilvl w:val="0"/>
          <w:numId w:val="4"/>
        </w:numPr>
        <w:ind w:left="851" w:firstLineChars="0"/>
      </w:pPr>
      <w:r>
        <w:rPr>
          <w:rFonts w:hint="eastAsia"/>
        </w:rPr>
        <w:t>实验结束后，电机旋钮归零，拔掉电源。退出软件，并关闭数据采集仪。</w:t>
      </w:r>
    </w:p>
    <w:p w14:paraId="2457648D">
      <w:pPr>
        <w:ind w:left="912" w:firstLine="0" w:firstLineChars="0"/>
      </w:pPr>
    </w:p>
    <w:p w14:paraId="1EE808BB">
      <w:pPr>
        <w:widowControl/>
        <w:spacing w:line="240" w:lineRule="auto"/>
        <w:ind w:firstLine="0" w:firstLineChars="0"/>
        <w:jc w:val="left"/>
      </w:pPr>
      <w:r>
        <w:br w:type="page"/>
      </w:r>
    </w:p>
    <w:p w14:paraId="2716DFAB">
      <w:pPr>
        <w:pStyle w:val="2"/>
      </w:pPr>
      <w:bookmarkStart w:id="1" w:name="_Toc26171"/>
      <w:r>
        <w:rPr>
          <w:rFonts w:hint="eastAsia"/>
        </w:rPr>
        <w:t>实验二 附加质量、材质对悬臂梁固有频率的影响</w:t>
      </w:r>
      <w:bookmarkEnd w:id="1"/>
    </w:p>
    <w:p w14:paraId="564FF1DA">
      <w:pPr>
        <w:pStyle w:val="15"/>
        <w:numPr>
          <w:ilvl w:val="0"/>
          <w:numId w:val="11"/>
        </w:numPr>
        <w:ind w:left="425" w:hanging="431" w:firstLineChars="0"/>
        <w:outlineLvl w:val="1"/>
        <w:rPr>
          <w:b/>
          <w:bCs/>
        </w:rPr>
      </w:pPr>
      <w:r>
        <w:rPr>
          <w:rFonts w:hint="eastAsia"/>
          <w:b/>
          <w:bCs/>
        </w:rPr>
        <w:t>实验目的</w:t>
      </w:r>
    </w:p>
    <w:p w14:paraId="03B96AAA">
      <w:pPr>
        <w:pStyle w:val="15"/>
        <w:numPr>
          <w:ilvl w:val="0"/>
          <w:numId w:val="12"/>
        </w:numPr>
        <w:ind w:left="851" w:firstLineChars="0"/>
      </w:pPr>
      <w:r>
        <w:rPr>
          <w:rFonts w:hint="eastAsia"/>
        </w:rPr>
        <w:t>掌握使用加速度传感器、电涡流位移传感器同步拾取振动量级的方法，并比较加速度传感器和位移传感器所测得的振动信号量值及相互间的相位关系等；</w:t>
      </w:r>
    </w:p>
    <w:p w14:paraId="3956D892">
      <w:pPr>
        <w:pStyle w:val="15"/>
        <w:numPr>
          <w:ilvl w:val="0"/>
          <w:numId w:val="12"/>
        </w:numPr>
        <w:ind w:left="851" w:firstLineChars="0"/>
      </w:pPr>
      <w:r>
        <w:rPr>
          <w:rFonts w:hint="eastAsia"/>
        </w:rPr>
        <w:t>进一步掌握光电式测转速传感器的使用方法；</w:t>
      </w:r>
    </w:p>
    <w:p w14:paraId="712A6FF1">
      <w:pPr>
        <w:pStyle w:val="15"/>
        <w:numPr>
          <w:ilvl w:val="0"/>
          <w:numId w:val="12"/>
        </w:numPr>
        <w:ind w:left="851" w:firstLineChars="0"/>
      </w:pPr>
      <w:r>
        <w:rPr>
          <w:rFonts w:hint="eastAsia"/>
        </w:rPr>
        <w:t>掌握使用数据采集仪测量和记录悬臂梁加速度、位移振动信号的波形和频谱，了解附加质量、材质对悬臂梁固有频率的影响。</w:t>
      </w:r>
    </w:p>
    <w:p w14:paraId="4290F6FE">
      <w:pPr>
        <w:pStyle w:val="15"/>
        <w:numPr>
          <w:ilvl w:val="0"/>
          <w:numId w:val="11"/>
        </w:numPr>
        <w:ind w:left="425" w:hanging="431" w:firstLineChars="0"/>
        <w:outlineLvl w:val="1"/>
        <w:rPr>
          <w:b/>
          <w:bCs/>
        </w:rPr>
      </w:pPr>
      <w:r>
        <w:rPr>
          <w:rFonts w:hint="eastAsia"/>
          <w:b/>
          <w:bCs/>
        </w:rPr>
        <w:t>实验原理</w:t>
      </w:r>
    </w:p>
    <w:p w14:paraId="4CC22A28">
      <w:pPr>
        <w:pStyle w:val="15"/>
        <w:numPr>
          <w:ilvl w:val="0"/>
          <w:numId w:val="13"/>
        </w:numPr>
        <w:ind w:left="851" w:firstLineChars="0"/>
      </w:pPr>
      <w:r>
        <w:rPr>
          <w:rFonts w:hint="eastAsia"/>
        </w:rPr>
        <w:t>固有频率</w:t>
      </w:r>
    </w:p>
    <w:p w14:paraId="53D77A53">
      <w:pPr>
        <w:pStyle w:val="15"/>
        <w:ind w:firstLine="480"/>
      </w:pPr>
      <w:r>
        <w:t>固有频率也称为自然频率（natural frequency）。物体做自由振动时，其位移随时间按正弦或余弦规律变化，振动的频率与初始条件无关，而仅与系统的固有特性有关（如质量、形状、材质等），称为固有频率，其对应周期称为固有周期。</w:t>
      </w:r>
    </w:p>
    <w:p w14:paraId="3D54CE83">
      <w:pPr>
        <w:pStyle w:val="15"/>
        <w:ind w:firstLine="480"/>
      </w:pPr>
      <w:r>
        <w:rPr>
          <w:rFonts w:hint="eastAsia"/>
        </w:rPr>
        <w:t>物体做自由振动时，其位移随时间按正弦规律变化，又称为简谐振动。简谐振动的振幅及初相位与振动的初始条件有关，振动的周期或频率与初始条件无关，而与系统的固有特性有关，称为固有频率或固有周期。物体的频率与它的硬度、质量、外形尺寸都有关，当其发生形变时弹力使其恢复。弹力主要与尺寸和硬度有关，质量影响其加速度。同样外形时，硬度高的频率高，质量大的频率低。一个系统的质量分布，内部的弹性以及其他的力学性质决定。</w:t>
      </w:r>
    </w:p>
    <w:p w14:paraId="38E0B8B3">
      <w:pPr>
        <w:pStyle w:val="15"/>
        <w:numPr>
          <w:ilvl w:val="0"/>
          <w:numId w:val="11"/>
        </w:numPr>
        <w:ind w:left="425" w:hanging="431" w:firstLineChars="0"/>
        <w:outlineLvl w:val="1"/>
        <w:rPr>
          <w:b/>
          <w:bCs/>
        </w:rPr>
      </w:pPr>
      <w:r>
        <w:rPr>
          <w:rFonts w:hint="eastAsia"/>
          <w:b/>
          <w:bCs/>
        </w:rPr>
        <w:t>实验仪器</w:t>
      </w:r>
    </w:p>
    <w:p w14:paraId="7E673894">
      <w:pPr>
        <w:pStyle w:val="15"/>
        <w:numPr>
          <w:ilvl w:val="0"/>
          <w:numId w:val="14"/>
        </w:numPr>
        <w:ind w:left="851" w:firstLineChars="0"/>
      </w:pPr>
      <w:r>
        <w:rPr>
          <w:rFonts w:hint="eastAsia"/>
        </w:rPr>
        <w:t>转子教学模拟平台（含电机*</w:t>
      </w:r>
      <w:r>
        <w:t>1</w:t>
      </w:r>
      <w:r>
        <w:rPr>
          <w:rFonts w:hint="eastAsia"/>
        </w:rPr>
        <w:t>、转轴*</w:t>
      </w:r>
      <w:r>
        <w:t>2</w:t>
      </w:r>
      <w:r>
        <w:rPr>
          <w:rFonts w:hint="eastAsia"/>
        </w:rPr>
        <w:t>、机架*</w:t>
      </w:r>
      <w:r>
        <w:t>1</w:t>
      </w:r>
      <w:r>
        <w:rPr>
          <w:rFonts w:hint="eastAsia"/>
        </w:rPr>
        <w:t>、不锈钢悬臂梁*1、黄铜悬臂梁*1及相关配套线缆、支架等）。</w:t>
      </w:r>
    </w:p>
    <w:p w14:paraId="4A8389B0">
      <w:pPr>
        <w:pStyle w:val="15"/>
        <w:numPr>
          <w:ilvl w:val="0"/>
          <w:numId w:val="14"/>
        </w:numPr>
        <w:ind w:left="851" w:firstLineChars="0"/>
      </w:pPr>
      <w:r>
        <w:rPr>
          <w:rFonts w:hint="eastAsia"/>
        </w:rPr>
        <w:t>4通道数据采集仪（转速测量模块）——M</w:t>
      </w:r>
      <w:r>
        <w:t>I-7004</w:t>
      </w:r>
      <w:r>
        <w:rPr>
          <w:rFonts w:hint="eastAsia"/>
        </w:rPr>
        <w:t>。</w:t>
      </w:r>
    </w:p>
    <w:p w14:paraId="66A55F71">
      <w:pPr>
        <w:pStyle w:val="15"/>
        <w:numPr>
          <w:ilvl w:val="0"/>
          <w:numId w:val="14"/>
        </w:numPr>
        <w:ind w:left="851" w:firstLineChars="0"/>
      </w:pPr>
      <w:r>
        <w:rPr>
          <w:rFonts w:hint="eastAsia"/>
        </w:rPr>
        <w:t>MI-2100传感器适配器——用于给传感器供电。</w:t>
      </w:r>
    </w:p>
    <w:p w14:paraId="6B3E39A9">
      <w:pPr>
        <w:pStyle w:val="15"/>
        <w:numPr>
          <w:ilvl w:val="0"/>
          <w:numId w:val="14"/>
        </w:numPr>
        <w:ind w:left="851" w:firstLineChars="0"/>
      </w:pPr>
      <w:r>
        <w:rPr>
          <w:rFonts w:hint="eastAsia"/>
        </w:rPr>
        <w:t>振动加速度传感器。</w:t>
      </w:r>
    </w:p>
    <w:p w14:paraId="79FF86A3">
      <w:pPr>
        <w:pStyle w:val="15"/>
        <w:numPr>
          <w:ilvl w:val="0"/>
          <w:numId w:val="14"/>
        </w:numPr>
        <w:ind w:left="851" w:firstLineChars="0"/>
      </w:pPr>
      <w:r>
        <w:rPr>
          <w:rFonts w:hint="eastAsia"/>
        </w:rPr>
        <w:t>振动位移传感器。</w:t>
      </w:r>
    </w:p>
    <w:p w14:paraId="245DF6A4">
      <w:pPr>
        <w:pStyle w:val="15"/>
        <w:numPr>
          <w:ilvl w:val="0"/>
          <w:numId w:val="14"/>
        </w:numPr>
        <w:ind w:left="851" w:firstLineChars="0"/>
      </w:pPr>
      <w:r>
        <w:rPr>
          <w:rFonts w:hint="eastAsia"/>
        </w:rPr>
        <w:t>光电式转速传感器。</w:t>
      </w:r>
    </w:p>
    <w:p w14:paraId="7D314849">
      <w:pPr>
        <w:pStyle w:val="15"/>
        <w:numPr>
          <w:ilvl w:val="0"/>
          <w:numId w:val="14"/>
        </w:numPr>
        <w:ind w:left="851" w:firstLineChars="0"/>
      </w:pPr>
      <w:r>
        <w:rPr>
          <w:rFonts w:hint="eastAsia"/>
        </w:rPr>
        <w:t>P</w:t>
      </w:r>
      <w:r>
        <w:t>C</w:t>
      </w:r>
      <w:r>
        <w:rPr>
          <w:rFonts w:hint="eastAsia"/>
        </w:rPr>
        <w:t>（主机+显示器）。</w:t>
      </w:r>
    </w:p>
    <w:p w14:paraId="1F25545D">
      <w:pPr>
        <w:pStyle w:val="15"/>
        <w:ind w:firstLine="480"/>
      </w:pPr>
      <w:r>
        <w:rPr>
          <w:rFonts w:hint="eastAsia"/>
        </w:rPr>
        <w:t>实验系统连接示意图如下，具体什么时候连传感器，请根据操作步骤。</w:t>
      </w:r>
    </w:p>
    <w:p w14:paraId="58614FC3">
      <w:pPr>
        <w:pStyle w:val="15"/>
        <w:ind w:firstLine="0" w:firstLineChars="0"/>
        <w:jc w:val="center"/>
      </w:pPr>
      <w:r>
        <w:drawing>
          <wp:inline distT="0" distB="0" distL="0" distR="0">
            <wp:extent cx="5061585" cy="5061585"/>
            <wp:effectExtent l="0" t="0" r="5715" b="5715"/>
            <wp:docPr id="238" name="图片 238" descr="E:\02 产品管理\02 产品需求\2021-06-16 转子试验台设计\2021-09-15 转子台新模型系统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descr="E:\02 产品管理\02 产品需求\2021-06-16 转子试验台设计\2021-09-15 转子台新模型系统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061600" cy="5061600"/>
                    </a:xfrm>
                    <a:prstGeom prst="rect">
                      <a:avLst/>
                    </a:prstGeom>
                    <a:noFill/>
                    <a:ln>
                      <a:noFill/>
                    </a:ln>
                  </pic:spPr>
                </pic:pic>
              </a:graphicData>
            </a:graphic>
          </wp:inline>
        </w:drawing>
      </w:r>
    </w:p>
    <w:p w14:paraId="23BD269C">
      <w:pPr>
        <w:pStyle w:val="15"/>
        <w:numPr>
          <w:ilvl w:val="0"/>
          <w:numId w:val="11"/>
        </w:numPr>
        <w:ind w:left="425" w:hanging="431" w:firstLineChars="0"/>
        <w:outlineLvl w:val="1"/>
        <w:rPr>
          <w:b/>
          <w:bCs/>
        </w:rPr>
      </w:pPr>
      <w:r>
        <w:rPr>
          <w:rFonts w:hint="eastAsia"/>
          <w:b/>
          <w:bCs/>
        </w:rPr>
        <w:t>实验内容与步骤</w:t>
      </w:r>
    </w:p>
    <w:p w14:paraId="029C71DF">
      <w:pPr>
        <w:pStyle w:val="15"/>
        <w:ind w:firstLine="480"/>
      </w:pPr>
      <w:r>
        <w:rPr>
          <w:rFonts w:hint="eastAsia"/>
        </w:rPr>
        <w:t>本实验通过小型电动机带动转子，</w:t>
      </w:r>
      <w:r>
        <w:t>采用光电转速传感器进行转速测量</w:t>
      </w:r>
      <w:r>
        <w:rPr>
          <w:rFonts w:hint="eastAsia"/>
        </w:rPr>
        <w:t>，</w:t>
      </w:r>
      <w:r>
        <w:t>转速测量方法请参照实验一。</w:t>
      </w:r>
      <w:r>
        <w:rPr>
          <w:rFonts w:hint="eastAsia"/>
        </w:rPr>
        <w:t>除了测量电机转速外，还要进一步学习利用不同的振动测量传感器去拾取振动实时波形，做频谱分析；进一步学习悬臂梁结构固有频率的测量，以及材质、附加质量对悬臂梁的固有频率的影响。测试过程中会用到两种振动传感器：加速度传感器和位移传感器。</w:t>
      </w:r>
    </w:p>
    <w:p w14:paraId="346A4930">
      <w:pPr>
        <w:pStyle w:val="15"/>
        <w:ind w:firstLine="480"/>
      </w:pPr>
      <w:r>
        <w:rPr>
          <w:rFonts w:hint="eastAsia"/>
        </w:rPr>
        <w:t>以下是实验步骤：</w:t>
      </w:r>
    </w:p>
    <w:p w14:paraId="45AB1877">
      <w:pPr>
        <w:pStyle w:val="15"/>
        <w:numPr>
          <w:ilvl w:val="0"/>
          <w:numId w:val="15"/>
        </w:numPr>
        <w:ind w:left="426" w:firstLineChars="0"/>
        <w:outlineLvl w:val="2"/>
      </w:pPr>
      <w:r>
        <w:rPr>
          <w:rFonts w:hint="eastAsia"/>
        </w:rPr>
        <w:t>实验准备：连接设备、运行软件</w:t>
      </w:r>
    </w:p>
    <w:p w14:paraId="67B39DB7">
      <w:pPr>
        <w:pStyle w:val="15"/>
        <w:ind w:firstLine="480"/>
      </w:pPr>
      <w:r>
        <w:rPr>
          <w:rFonts w:hint="eastAsia"/>
        </w:rPr>
        <w:t>把数据采集仪U</w:t>
      </w:r>
      <w:r>
        <w:t>SB</w:t>
      </w:r>
      <w:r>
        <w:rPr>
          <w:rFonts w:hint="eastAsia"/>
        </w:rPr>
        <w:t>通讯线A型公接口连接到计算机U</w:t>
      </w:r>
      <w:r>
        <w:t>SB</w:t>
      </w:r>
      <w:r>
        <w:rPr>
          <w:rFonts w:hint="eastAsia"/>
        </w:rPr>
        <w:t>接口，B型公接口连接到数据采集与分析仪的U</w:t>
      </w:r>
      <w:r>
        <w:t>SB</w:t>
      </w:r>
      <w:r>
        <w:rPr>
          <w:rFonts w:hint="eastAsia"/>
        </w:rPr>
        <w:t>接口，插上电源。</w:t>
      </w:r>
    </w:p>
    <w:p w14:paraId="4D1BB672">
      <w:pPr>
        <w:pStyle w:val="15"/>
        <w:ind w:firstLine="0" w:firstLineChars="0"/>
        <w:jc w:val="center"/>
      </w:pPr>
      <w:r>
        <w:drawing>
          <wp:inline distT="0" distB="0" distL="0" distR="0">
            <wp:extent cx="2190750" cy="1385570"/>
            <wp:effectExtent l="0" t="0" r="0" b="508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pic:cNvPicPr>
                      <a:picLocks noChangeAspect="1"/>
                    </pic:cNvPicPr>
                  </pic:nvPicPr>
                  <pic:blipFill>
                    <a:blip r:embed="rId15"/>
                    <a:stretch>
                      <a:fillRect/>
                    </a:stretch>
                  </pic:blipFill>
                  <pic:spPr>
                    <a:xfrm>
                      <a:off x="0" y="0"/>
                      <a:ext cx="2208706" cy="1397345"/>
                    </a:xfrm>
                    <a:prstGeom prst="rect">
                      <a:avLst/>
                    </a:prstGeom>
                  </pic:spPr>
                </pic:pic>
              </a:graphicData>
            </a:graphic>
          </wp:inline>
        </w:drawing>
      </w:r>
    </w:p>
    <w:p w14:paraId="4547AA76">
      <w:pPr>
        <w:pStyle w:val="15"/>
        <w:ind w:firstLine="480"/>
      </w:pPr>
      <w:r>
        <w:rPr>
          <w:rFonts w:hint="eastAsia"/>
        </w:rPr>
        <w:t>打开数据采集仪电源开关。</w:t>
      </w:r>
    </w:p>
    <w:p w14:paraId="5844235F">
      <w:pPr>
        <w:pStyle w:val="15"/>
        <w:ind w:firstLine="0" w:firstLineChars="0"/>
        <w:jc w:val="center"/>
      </w:pPr>
      <w:r>
        <w:drawing>
          <wp:inline distT="0" distB="0" distL="0" distR="0">
            <wp:extent cx="996950" cy="908050"/>
            <wp:effectExtent l="0" t="0" r="6350" b="635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pic:cNvPicPr>
                      <a:picLocks noChangeAspect="1"/>
                    </pic:cNvPicPr>
                  </pic:nvPicPr>
                  <pic:blipFill>
                    <a:blip r:embed="rId16"/>
                    <a:stretch>
                      <a:fillRect/>
                    </a:stretch>
                  </pic:blipFill>
                  <pic:spPr>
                    <a:xfrm>
                      <a:off x="0" y="0"/>
                      <a:ext cx="1013020" cy="923259"/>
                    </a:xfrm>
                    <a:prstGeom prst="rect">
                      <a:avLst/>
                    </a:prstGeom>
                  </pic:spPr>
                </pic:pic>
              </a:graphicData>
            </a:graphic>
          </wp:inline>
        </w:drawing>
      </w:r>
    </w:p>
    <w:p w14:paraId="37F9245F">
      <w:pPr>
        <w:pStyle w:val="15"/>
        <w:ind w:firstLine="480"/>
      </w:pPr>
      <w:r>
        <w:rPr>
          <w:rFonts w:hint="eastAsia"/>
        </w:rPr>
        <w:t>在Windows桌面上，找到数据采集与分析软件的快捷图标</w:t>
      </w:r>
      <w:r>
        <w:drawing>
          <wp:inline distT="0" distB="0" distL="0" distR="0">
            <wp:extent cx="323850" cy="285750"/>
            <wp:effectExtent l="0" t="0" r="6350" b="635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pic:cNvPicPr>
                      <a:picLocks noChangeAspect="1"/>
                    </pic:cNvPicPr>
                  </pic:nvPicPr>
                  <pic:blipFill>
                    <a:blip r:embed="rId17"/>
                    <a:stretch>
                      <a:fillRect/>
                    </a:stretch>
                  </pic:blipFill>
                  <pic:spPr>
                    <a:xfrm>
                      <a:off x="0" y="0"/>
                      <a:ext cx="323850" cy="285750"/>
                    </a:xfrm>
                    <a:prstGeom prst="rect">
                      <a:avLst/>
                    </a:prstGeom>
                  </pic:spPr>
                </pic:pic>
              </a:graphicData>
            </a:graphic>
          </wp:inline>
        </w:drawing>
      </w:r>
      <w:r>
        <w:rPr>
          <w:rFonts w:hint="eastAsia"/>
        </w:rPr>
        <w:t>。双击图标即可打开数据采集与分析软件，进入试验类型选择界面。点击“数据采集与分析”标签，再单击“动态信号分析”按钮，进入动态信号分析试验界面。</w:t>
      </w:r>
    </w:p>
    <w:p w14:paraId="0472AF77">
      <w:pPr>
        <w:pStyle w:val="15"/>
        <w:ind w:firstLine="0" w:firstLineChars="0"/>
        <w:jc w:val="center"/>
      </w:pPr>
      <w:r>
        <w:drawing>
          <wp:inline distT="0" distB="0" distL="0" distR="0">
            <wp:extent cx="2990850" cy="2192655"/>
            <wp:effectExtent l="0" t="0" r="6350" b="444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pic:cNvPicPr>
                      <a:picLocks noChangeAspect="1"/>
                    </pic:cNvPicPr>
                  </pic:nvPicPr>
                  <pic:blipFill>
                    <a:blip r:embed="rId18"/>
                    <a:stretch>
                      <a:fillRect/>
                    </a:stretch>
                  </pic:blipFill>
                  <pic:spPr>
                    <a:xfrm>
                      <a:off x="0" y="0"/>
                      <a:ext cx="2999217" cy="2198961"/>
                    </a:xfrm>
                    <a:prstGeom prst="rect">
                      <a:avLst/>
                    </a:prstGeom>
                  </pic:spPr>
                </pic:pic>
              </a:graphicData>
            </a:graphic>
          </wp:inline>
        </w:drawing>
      </w:r>
    </w:p>
    <w:p w14:paraId="5A9953F9">
      <w:pPr>
        <w:pStyle w:val="15"/>
        <w:numPr>
          <w:ilvl w:val="0"/>
          <w:numId w:val="15"/>
        </w:numPr>
        <w:ind w:left="426" w:firstLineChars="0"/>
        <w:outlineLvl w:val="2"/>
      </w:pPr>
      <w:r>
        <w:rPr>
          <w:rFonts w:hint="eastAsia"/>
        </w:rPr>
        <w:t>工况1，采用不锈钢悬臂梁、电涡流位移传感器、光电式转速传感器、加速度传感器。</w:t>
      </w:r>
    </w:p>
    <w:p w14:paraId="2F1BB5C0">
      <w:pPr>
        <w:pStyle w:val="15"/>
        <w:ind w:firstLine="480"/>
      </w:pPr>
      <w:r>
        <w:rPr>
          <w:rFonts w:hint="eastAsia"/>
        </w:rPr>
        <w:t>工况1的操作步骤： 在实验一基础上加装加速度传感器。</w:t>
      </w:r>
    </w:p>
    <w:p w14:paraId="6DB772A4">
      <w:pPr>
        <w:pStyle w:val="15"/>
        <w:numPr>
          <w:ilvl w:val="0"/>
          <w:numId w:val="16"/>
        </w:numPr>
        <w:ind w:left="465" w:firstLine="15" w:firstLineChars="0"/>
      </w:pPr>
      <w:r>
        <w:rPr>
          <w:rFonts w:hint="eastAsia"/>
        </w:rPr>
        <w:t>安装悬臂梁</w:t>
      </w:r>
    </w:p>
    <w:p w14:paraId="2BD4E3DD">
      <w:pPr>
        <w:pStyle w:val="15"/>
        <w:ind w:firstLine="480"/>
      </w:pPr>
      <w:r>
        <w:rPr>
          <w:rFonts w:hint="eastAsia"/>
        </w:rPr>
        <w:t>不锈钢悬臂梁通过螺母安装到右侧的轴承座上。悬臂梁安装时，下方放平垫，上方放弹垫和平垫，悬臂梁与转子的转轴平行，然后将固定螺丝拧紧。</w:t>
      </w:r>
    </w:p>
    <w:p w14:paraId="112169FA">
      <w:pPr>
        <w:pStyle w:val="15"/>
        <w:numPr>
          <w:ilvl w:val="0"/>
          <w:numId w:val="16"/>
        </w:numPr>
        <w:ind w:left="465" w:firstLine="15" w:firstLineChars="0"/>
      </w:pPr>
      <w:r>
        <w:rPr>
          <w:rFonts w:hint="eastAsia"/>
        </w:rPr>
        <w:t>安装传感器并接入数据采集仪</w:t>
      </w:r>
    </w:p>
    <w:p w14:paraId="13E88DF1">
      <w:pPr>
        <w:pStyle w:val="15"/>
        <w:ind w:firstLine="480"/>
      </w:pPr>
      <w:r>
        <w:rPr>
          <w:rFonts w:hint="eastAsia"/>
        </w:rPr>
        <w:t>确保MI-2100传感器适配器处于关机状态，供电电压位于±24V挡，输出位于DC挡。把电涡流位移传感器安装到夹具最右侧，接近悬臂梁端部位置的下方约3mm处，将传感器的输出连接到MI-2100传感器适配器的输入通道1；将光电式转速传感器安装到距离转子约1cm处，转子上光电传感器正前方贴上黑胶布。光电式转速传感器的输出接到MI-2100传感器适配器的输入通道2。MI-2100传感器适配器的输出1、2分别连接4通道数据采集仪的电压输入通道1和2（B</w:t>
      </w:r>
      <w:r>
        <w:t>NC</w:t>
      </w:r>
      <w:r>
        <w:rPr>
          <w:rFonts w:hint="eastAsia"/>
        </w:rPr>
        <w:t>接口）。</w:t>
      </w:r>
    </w:p>
    <w:p w14:paraId="4904783F">
      <w:pPr>
        <w:pStyle w:val="15"/>
        <w:ind w:firstLine="480"/>
      </w:pPr>
      <w:r>
        <w:rPr>
          <w:rFonts w:hint="eastAsia"/>
        </w:rPr>
        <w:t>在不锈钢悬臂梁上加装加速度传感器，加速度传感器通过双面胶安装到不锈钢悬臂梁的上方（电涡流位移传感器正上方）。</w:t>
      </w:r>
    </w:p>
    <w:p w14:paraId="4702A04C">
      <w:pPr>
        <w:pStyle w:val="15"/>
        <w:ind w:firstLine="480"/>
      </w:pPr>
      <w:r>
        <w:rPr>
          <w:rFonts w:hint="eastAsia"/>
        </w:rPr>
        <w:t>将加速度传感器连接到4通道数据采集仪的电压输入通道3（B</w:t>
      </w:r>
      <w:r>
        <w:t>NC</w:t>
      </w:r>
      <w:r>
        <w:rPr>
          <w:rFonts w:hint="eastAsia"/>
        </w:rPr>
        <w:t>接口）。</w:t>
      </w:r>
    </w:p>
    <w:p w14:paraId="73756623">
      <w:pPr>
        <w:pStyle w:val="15"/>
        <w:ind w:firstLine="0" w:firstLineChars="0"/>
        <w:jc w:val="center"/>
      </w:pPr>
      <w:r>
        <w:drawing>
          <wp:inline distT="0" distB="0" distL="0" distR="0">
            <wp:extent cx="3196590" cy="1065530"/>
            <wp:effectExtent l="0" t="0" r="381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9"/>
                    <a:stretch>
                      <a:fillRect/>
                    </a:stretch>
                  </pic:blipFill>
                  <pic:spPr>
                    <a:xfrm>
                      <a:off x="0" y="0"/>
                      <a:ext cx="3196800" cy="1065600"/>
                    </a:xfrm>
                    <a:prstGeom prst="rect">
                      <a:avLst/>
                    </a:prstGeom>
                  </pic:spPr>
                </pic:pic>
              </a:graphicData>
            </a:graphic>
          </wp:inline>
        </w:drawing>
      </w:r>
    </w:p>
    <w:tbl>
      <w:tblPr>
        <w:tblStyle w:val="11"/>
        <w:tblW w:w="0" w:type="auto"/>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3"/>
        <w:gridCol w:w="2716"/>
        <w:gridCol w:w="4706"/>
      </w:tblGrid>
      <w:tr w14:paraId="1FAC3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63" w:type="dxa"/>
          </w:tcPr>
          <w:p w14:paraId="0F8054EC">
            <w:pPr>
              <w:spacing w:line="120" w:lineRule="auto"/>
              <w:ind w:firstLine="0" w:firstLineChars="0"/>
              <w:jc w:val="center"/>
              <w:rPr>
                <w:sz w:val="21"/>
                <w:szCs w:val="21"/>
              </w:rPr>
            </w:pPr>
            <w:r>
              <w:rPr>
                <w:rFonts w:hint="eastAsia"/>
                <w:sz w:val="21"/>
                <w:szCs w:val="21"/>
              </w:rPr>
              <w:t>序号</w:t>
            </w:r>
          </w:p>
        </w:tc>
        <w:tc>
          <w:tcPr>
            <w:tcW w:w="2716" w:type="dxa"/>
          </w:tcPr>
          <w:p w14:paraId="36FE5A1E">
            <w:pPr>
              <w:spacing w:line="120" w:lineRule="auto"/>
              <w:ind w:firstLine="0" w:firstLineChars="0"/>
              <w:jc w:val="center"/>
              <w:rPr>
                <w:sz w:val="21"/>
                <w:szCs w:val="21"/>
              </w:rPr>
            </w:pPr>
            <w:r>
              <w:rPr>
                <w:rFonts w:hint="eastAsia"/>
                <w:sz w:val="21"/>
                <w:szCs w:val="21"/>
              </w:rPr>
              <w:t>名称</w:t>
            </w:r>
          </w:p>
        </w:tc>
        <w:tc>
          <w:tcPr>
            <w:tcW w:w="4706" w:type="dxa"/>
          </w:tcPr>
          <w:p w14:paraId="735D9804">
            <w:pPr>
              <w:spacing w:line="120" w:lineRule="auto"/>
              <w:ind w:firstLine="420"/>
              <w:jc w:val="center"/>
              <w:rPr>
                <w:sz w:val="21"/>
                <w:szCs w:val="21"/>
              </w:rPr>
            </w:pPr>
            <w:r>
              <w:rPr>
                <w:rFonts w:hint="eastAsia"/>
                <w:sz w:val="21"/>
                <w:szCs w:val="21"/>
              </w:rPr>
              <w:t>用途</w:t>
            </w:r>
          </w:p>
        </w:tc>
      </w:tr>
      <w:tr w14:paraId="2356C2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63" w:type="dxa"/>
          </w:tcPr>
          <w:p w14:paraId="42513C1E">
            <w:pPr>
              <w:spacing w:line="120" w:lineRule="auto"/>
              <w:ind w:firstLine="0" w:firstLineChars="0"/>
              <w:jc w:val="center"/>
              <w:rPr>
                <w:sz w:val="21"/>
                <w:szCs w:val="21"/>
              </w:rPr>
            </w:pPr>
            <w:r>
              <w:rPr>
                <w:rFonts w:hint="eastAsia"/>
                <w:sz w:val="21"/>
                <w:szCs w:val="21"/>
              </w:rPr>
              <w:t>1</w:t>
            </w:r>
          </w:p>
        </w:tc>
        <w:tc>
          <w:tcPr>
            <w:tcW w:w="2716" w:type="dxa"/>
          </w:tcPr>
          <w:p w14:paraId="7C6BF1EA">
            <w:pPr>
              <w:spacing w:line="120" w:lineRule="auto"/>
              <w:ind w:firstLine="0" w:firstLineChars="0"/>
              <w:jc w:val="left"/>
              <w:rPr>
                <w:sz w:val="21"/>
                <w:szCs w:val="21"/>
              </w:rPr>
            </w:pPr>
            <w:r>
              <w:rPr>
                <w:rFonts w:hint="eastAsia"/>
                <w:sz w:val="21"/>
                <w:szCs w:val="21"/>
              </w:rPr>
              <w:t>电压输出通道（B</w:t>
            </w:r>
            <w:r>
              <w:rPr>
                <w:sz w:val="21"/>
                <w:szCs w:val="21"/>
              </w:rPr>
              <w:t>NC</w:t>
            </w:r>
            <w:r>
              <w:rPr>
                <w:rFonts w:hint="eastAsia"/>
                <w:sz w:val="21"/>
                <w:szCs w:val="21"/>
              </w:rPr>
              <w:t>接口）</w:t>
            </w:r>
          </w:p>
        </w:tc>
        <w:tc>
          <w:tcPr>
            <w:tcW w:w="4706" w:type="dxa"/>
          </w:tcPr>
          <w:p w14:paraId="377F9966">
            <w:pPr>
              <w:spacing w:line="120" w:lineRule="auto"/>
              <w:ind w:firstLine="0" w:firstLineChars="0"/>
              <w:jc w:val="left"/>
              <w:rPr>
                <w:sz w:val="21"/>
                <w:szCs w:val="21"/>
              </w:rPr>
            </w:pPr>
            <w:r>
              <w:rPr>
                <w:rFonts w:hint="eastAsia"/>
                <w:sz w:val="21"/>
                <w:szCs w:val="21"/>
              </w:rPr>
              <w:t>作为信号源，输出各种类型的信号</w:t>
            </w:r>
          </w:p>
        </w:tc>
      </w:tr>
      <w:tr w14:paraId="03A35C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63" w:type="dxa"/>
          </w:tcPr>
          <w:p w14:paraId="589EF9BD">
            <w:pPr>
              <w:spacing w:line="120" w:lineRule="auto"/>
              <w:ind w:firstLine="0" w:firstLineChars="0"/>
              <w:jc w:val="center"/>
              <w:rPr>
                <w:sz w:val="21"/>
                <w:szCs w:val="21"/>
              </w:rPr>
            </w:pPr>
            <w:r>
              <w:rPr>
                <w:rFonts w:hint="eastAsia"/>
                <w:sz w:val="21"/>
                <w:szCs w:val="21"/>
              </w:rPr>
              <w:t>2</w:t>
            </w:r>
          </w:p>
        </w:tc>
        <w:tc>
          <w:tcPr>
            <w:tcW w:w="2716" w:type="dxa"/>
          </w:tcPr>
          <w:p w14:paraId="5FD27CDD">
            <w:pPr>
              <w:spacing w:line="120" w:lineRule="auto"/>
              <w:ind w:firstLine="0" w:firstLineChars="0"/>
              <w:jc w:val="left"/>
              <w:rPr>
                <w:sz w:val="21"/>
                <w:szCs w:val="21"/>
              </w:rPr>
            </w:pPr>
            <w:r>
              <w:rPr>
                <w:rFonts w:hint="eastAsia"/>
                <w:sz w:val="21"/>
                <w:szCs w:val="21"/>
              </w:rPr>
              <w:t>电压输入通道（B</w:t>
            </w:r>
            <w:r>
              <w:rPr>
                <w:sz w:val="21"/>
                <w:szCs w:val="21"/>
              </w:rPr>
              <w:t>NC</w:t>
            </w:r>
            <w:r>
              <w:rPr>
                <w:rFonts w:hint="eastAsia"/>
                <w:sz w:val="21"/>
                <w:szCs w:val="21"/>
              </w:rPr>
              <w:t>接口）</w:t>
            </w:r>
          </w:p>
        </w:tc>
        <w:tc>
          <w:tcPr>
            <w:tcW w:w="4706" w:type="dxa"/>
          </w:tcPr>
          <w:p w14:paraId="2D96BE08">
            <w:pPr>
              <w:spacing w:line="120" w:lineRule="auto"/>
              <w:ind w:firstLine="0" w:firstLineChars="0"/>
              <w:jc w:val="left"/>
              <w:rPr>
                <w:sz w:val="21"/>
                <w:szCs w:val="21"/>
              </w:rPr>
            </w:pPr>
            <w:r>
              <w:rPr>
                <w:rFonts w:hint="eastAsia"/>
                <w:sz w:val="21"/>
                <w:szCs w:val="21"/>
              </w:rPr>
              <w:t>用来连接传感器信号输入，只允许输入电压信号</w:t>
            </w:r>
          </w:p>
        </w:tc>
      </w:tr>
      <w:tr w14:paraId="6FF08F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63" w:type="dxa"/>
          </w:tcPr>
          <w:p w14:paraId="6F9C8D84">
            <w:pPr>
              <w:spacing w:line="120" w:lineRule="auto"/>
              <w:ind w:firstLine="0" w:firstLineChars="0"/>
              <w:jc w:val="center"/>
              <w:rPr>
                <w:sz w:val="21"/>
                <w:szCs w:val="21"/>
              </w:rPr>
            </w:pPr>
            <w:r>
              <w:rPr>
                <w:rFonts w:hint="eastAsia"/>
                <w:sz w:val="21"/>
                <w:szCs w:val="21"/>
              </w:rPr>
              <w:t>3</w:t>
            </w:r>
          </w:p>
        </w:tc>
        <w:tc>
          <w:tcPr>
            <w:tcW w:w="2716" w:type="dxa"/>
          </w:tcPr>
          <w:p w14:paraId="1974271F">
            <w:pPr>
              <w:spacing w:line="120" w:lineRule="auto"/>
              <w:ind w:firstLine="0" w:firstLineChars="0"/>
              <w:jc w:val="left"/>
              <w:rPr>
                <w:sz w:val="21"/>
                <w:szCs w:val="21"/>
              </w:rPr>
            </w:pPr>
            <w:r>
              <w:rPr>
                <w:rFonts w:hint="eastAsia"/>
                <w:sz w:val="21"/>
                <w:szCs w:val="21"/>
              </w:rPr>
              <w:t>U</w:t>
            </w:r>
            <w:r>
              <w:rPr>
                <w:sz w:val="21"/>
                <w:szCs w:val="21"/>
              </w:rPr>
              <w:t>SB</w:t>
            </w:r>
            <w:r>
              <w:rPr>
                <w:rFonts w:hint="eastAsia"/>
                <w:sz w:val="21"/>
                <w:szCs w:val="21"/>
              </w:rPr>
              <w:t>接口</w:t>
            </w:r>
          </w:p>
        </w:tc>
        <w:tc>
          <w:tcPr>
            <w:tcW w:w="4706" w:type="dxa"/>
          </w:tcPr>
          <w:p w14:paraId="2A5F258C">
            <w:pPr>
              <w:spacing w:line="120" w:lineRule="auto"/>
              <w:ind w:firstLine="0" w:firstLineChars="0"/>
              <w:jc w:val="left"/>
              <w:rPr>
                <w:sz w:val="21"/>
                <w:szCs w:val="21"/>
              </w:rPr>
            </w:pPr>
            <w:r>
              <w:rPr>
                <w:rFonts w:hint="eastAsia"/>
                <w:sz w:val="21"/>
                <w:szCs w:val="21"/>
              </w:rPr>
              <w:t>U</w:t>
            </w:r>
            <w:r>
              <w:rPr>
                <w:sz w:val="21"/>
                <w:szCs w:val="21"/>
              </w:rPr>
              <w:t>SB B</w:t>
            </w:r>
            <w:r>
              <w:rPr>
                <w:rFonts w:hint="eastAsia"/>
                <w:sz w:val="21"/>
                <w:szCs w:val="21"/>
              </w:rPr>
              <w:t>型母接口，通过U</w:t>
            </w:r>
            <w:r>
              <w:rPr>
                <w:sz w:val="21"/>
                <w:szCs w:val="21"/>
              </w:rPr>
              <w:t>SB</w:t>
            </w:r>
            <w:r>
              <w:rPr>
                <w:rFonts w:hint="eastAsia"/>
                <w:sz w:val="21"/>
                <w:szCs w:val="21"/>
              </w:rPr>
              <w:t>通讯线连接到计算机</w:t>
            </w:r>
          </w:p>
        </w:tc>
      </w:tr>
      <w:tr w14:paraId="15F6FB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63" w:type="dxa"/>
          </w:tcPr>
          <w:p w14:paraId="56C952AD">
            <w:pPr>
              <w:spacing w:line="120" w:lineRule="auto"/>
              <w:ind w:firstLine="0" w:firstLineChars="0"/>
              <w:jc w:val="center"/>
              <w:rPr>
                <w:sz w:val="21"/>
                <w:szCs w:val="21"/>
              </w:rPr>
            </w:pPr>
            <w:r>
              <w:rPr>
                <w:rFonts w:hint="eastAsia"/>
                <w:sz w:val="21"/>
                <w:szCs w:val="21"/>
              </w:rPr>
              <w:t>4</w:t>
            </w:r>
          </w:p>
        </w:tc>
        <w:tc>
          <w:tcPr>
            <w:tcW w:w="2716" w:type="dxa"/>
          </w:tcPr>
          <w:p w14:paraId="6987D9DC">
            <w:pPr>
              <w:spacing w:line="120" w:lineRule="auto"/>
              <w:ind w:firstLine="0" w:firstLineChars="0"/>
              <w:jc w:val="left"/>
              <w:rPr>
                <w:sz w:val="21"/>
                <w:szCs w:val="21"/>
              </w:rPr>
            </w:pPr>
            <w:r>
              <w:rPr>
                <w:rFonts w:hint="eastAsia"/>
                <w:sz w:val="21"/>
                <w:szCs w:val="21"/>
              </w:rPr>
              <w:t>S</w:t>
            </w:r>
            <w:r>
              <w:rPr>
                <w:sz w:val="21"/>
                <w:szCs w:val="21"/>
              </w:rPr>
              <w:t>YS</w:t>
            </w:r>
            <w:r>
              <w:rPr>
                <w:rFonts w:hint="eastAsia"/>
                <w:sz w:val="21"/>
                <w:szCs w:val="21"/>
              </w:rPr>
              <w:t>指示灯</w:t>
            </w:r>
          </w:p>
        </w:tc>
        <w:tc>
          <w:tcPr>
            <w:tcW w:w="4706" w:type="dxa"/>
          </w:tcPr>
          <w:p w14:paraId="756F1606">
            <w:pPr>
              <w:spacing w:line="120" w:lineRule="auto"/>
              <w:ind w:firstLine="0" w:firstLineChars="0"/>
              <w:jc w:val="left"/>
              <w:rPr>
                <w:sz w:val="21"/>
                <w:szCs w:val="21"/>
              </w:rPr>
            </w:pPr>
            <w:r>
              <w:rPr>
                <w:rFonts w:hint="eastAsia"/>
                <w:sz w:val="21"/>
                <w:szCs w:val="21"/>
              </w:rPr>
              <w:t>系统状态，进入试验界面后，一直闪烁</w:t>
            </w:r>
          </w:p>
        </w:tc>
      </w:tr>
      <w:tr w14:paraId="46249E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63" w:type="dxa"/>
          </w:tcPr>
          <w:p w14:paraId="742BCCA4">
            <w:pPr>
              <w:spacing w:line="120" w:lineRule="auto"/>
              <w:ind w:firstLine="0" w:firstLineChars="0"/>
              <w:jc w:val="center"/>
              <w:rPr>
                <w:sz w:val="21"/>
                <w:szCs w:val="21"/>
              </w:rPr>
            </w:pPr>
            <w:r>
              <w:rPr>
                <w:rFonts w:hint="eastAsia"/>
                <w:sz w:val="21"/>
                <w:szCs w:val="21"/>
              </w:rPr>
              <w:t>5</w:t>
            </w:r>
          </w:p>
        </w:tc>
        <w:tc>
          <w:tcPr>
            <w:tcW w:w="2716" w:type="dxa"/>
          </w:tcPr>
          <w:p w14:paraId="3A5E52AC">
            <w:pPr>
              <w:spacing w:line="120" w:lineRule="auto"/>
              <w:ind w:firstLine="0" w:firstLineChars="0"/>
              <w:jc w:val="left"/>
              <w:rPr>
                <w:sz w:val="21"/>
                <w:szCs w:val="21"/>
              </w:rPr>
            </w:pPr>
            <w:r>
              <w:rPr>
                <w:rFonts w:hint="eastAsia"/>
                <w:sz w:val="21"/>
                <w:szCs w:val="21"/>
              </w:rPr>
              <w:t>Power指示灯</w:t>
            </w:r>
          </w:p>
        </w:tc>
        <w:tc>
          <w:tcPr>
            <w:tcW w:w="4706" w:type="dxa"/>
          </w:tcPr>
          <w:p w14:paraId="57B7A046">
            <w:pPr>
              <w:spacing w:line="120" w:lineRule="auto"/>
              <w:ind w:firstLine="0" w:firstLineChars="0"/>
              <w:jc w:val="left"/>
              <w:rPr>
                <w:sz w:val="21"/>
                <w:szCs w:val="21"/>
              </w:rPr>
            </w:pPr>
            <w:r>
              <w:rPr>
                <w:rFonts w:hint="eastAsia"/>
                <w:sz w:val="21"/>
                <w:szCs w:val="21"/>
              </w:rPr>
              <w:t>电源状态，电源接通后，显示为绿色</w:t>
            </w:r>
          </w:p>
        </w:tc>
      </w:tr>
    </w:tbl>
    <w:p w14:paraId="72D62C63">
      <w:pPr>
        <w:pStyle w:val="15"/>
        <w:numPr>
          <w:ilvl w:val="0"/>
          <w:numId w:val="16"/>
        </w:numPr>
        <w:ind w:left="465" w:firstLine="15" w:firstLineChars="0"/>
      </w:pPr>
      <w:r>
        <w:rPr>
          <w:rFonts w:hint="eastAsia"/>
        </w:rPr>
        <w:t>硬件参数和采样参数设置</w:t>
      </w:r>
    </w:p>
    <w:p w14:paraId="0BD85C5E">
      <w:pPr>
        <w:pStyle w:val="15"/>
        <w:ind w:firstLine="480"/>
      </w:pPr>
      <w:r>
        <w:rPr>
          <w:rFonts w:hint="eastAsia"/>
        </w:rPr>
        <w:t>在工具栏上点击</w:t>
      </w:r>
      <w:r>
        <w:drawing>
          <wp:inline distT="0" distB="0" distL="0" distR="0">
            <wp:extent cx="180975" cy="189865"/>
            <wp:effectExtent l="0" t="0" r="0" b="63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20"/>
                    <a:stretch>
                      <a:fillRect/>
                    </a:stretch>
                  </pic:blipFill>
                  <pic:spPr>
                    <a:xfrm>
                      <a:off x="0" y="0"/>
                      <a:ext cx="191521" cy="201095"/>
                    </a:xfrm>
                    <a:prstGeom prst="rect">
                      <a:avLst/>
                    </a:prstGeom>
                  </pic:spPr>
                </pic:pic>
              </a:graphicData>
            </a:graphic>
          </wp:inline>
        </w:drawing>
      </w:r>
      <w:r>
        <w:rPr>
          <w:rFonts w:hint="eastAsia"/>
        </w:rPr>
        <w:t>，进行输入通道参数设置。</w:t>
      </w:r>
    </w:p>
    <w:p w14:paraId="19D13C6D">
      <w:pPr>
        <w:pStyle w:val="15"/>
        <w:ind w:firstLine="480"/>
      </w:pPr>
      <w:r>
        <w:rPr>
          <w:rFonts w:hint="eastAsia"/>
        </w:rPr>
        <w:t>将输入通道4的类型修改为“不用”。</w:t>
      </w:r>
    </w:p>
    <w:p w14:paraId="0601ED3A">
      <w:pPr>
        <w:pStyle w:val="15"/>
        <w:ind w:firstLine="0" w:firstLineChars="0"/>
        <w:jc w:val="center"/>
      </w:pPr>
      <w:r>
        <w:drawing>
          <wp:inline distT="0" distB="0" distL="0" distR="0">
            <wp:extent cx="5267325" cy="2943225"/>
            <wp:effectExtent l="0" t="0" r="9525" b="952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67325" cy="2943225"/>
                    </a:xfrm>
                    <a:prstGeom prst="rect">
                      <a:avLst/>
                    </a:prstGeom>
                    <a:noFill/>
                    <a:ln>
                      <a:noFill/>
                    </a:ln>
                  </pic:spPr>
                </pic:pic>
              </a:graphicData>
            </a:graphic>
          </wp:inline>
        </w:drawing>
      </w:r>
    </w:p>
    <w:p w14:paraId="0255E38B">
      <w:pPr>
        <w:pStyle w:val="15"/>
        <w:ind w:firstLine="480"/>
      </w:pPr>
      <w:r>
        <w:rPr>
          <w:rFonts w:hint="eastAsia"/>
        </w:rPr>
        <w:t>将输入通道1、2.、3的通道参数设置为：</w:t>
      </w:r>
    </w:p>
    <w:p w14:paraId="7DE398B7">
      <w:pPr>
        <w:pStyle w:val="15"/>
        <w:ind w:firstLine="0" w:firstLineChars="0"/>
        <w:jc w:val="center"/>
      </w:pPr>
      <w:r>
        <w:drawing>
          <wp:inline distT="0" distB="0" distL="0" distR="0">
            <wp:extent cx="5276850" cy="885825"/>
            <wp:effectExtent l="0" t="0" r="0"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6850" cy="885825"/>
                    </a:xfrm>
                    <a:prstGeom prst="rect">
                      <a:avLst/>
                    </a:prstGeom>
                    <a:noFill/>
                    <a:ln>
                      <a:noFill/>
                    </a:ln>
                  </pic:spPr>
                </pic:pic>
              </a:graphicData>
            </a:graphic>
          </wp:inline>
        </w:drawing>
      </w:r>
    </w:p>
    <w:p w14:paraId="07E8F9A2">
      <w:pPr>
        <w:pStyle w:val="15"/>
        <w:rPr>
          <w:sz w:val="21"/>
        </w:rPr>
      </w:pPr>
      <w:r>
        <w:rPr>
          <w:rFonts w:hint="eastAsia"/>
          <w:sz w:val="21"/>
        </w:rPr>
        <w:t>注意：加速度传感器、位移传感器的灵敏度请根据传感器的说明书按实际填写。另外，这里位移传感器的耦合方式设置为AC差分，高通滤波0.7Hz是滤除了直流成分，测试的是动态信号。</w:t>
      </w:r>
    </w:p>
    <w:p w14:paraId="6F513024">
      <w:pPr>
        <w:pStyle w:val="15"/>
        <w:ind w:firstLine="480"/>
      </w:pPr>
      <w:r>
        <w:rPr>
          <w:rFonts w:hint="eastAsia"/>
        </w:rPr>
        <w:t>在工具栏上点击</w:t>
      </w:r>
      <w:r>
        <w:drawing>
          <wp:inline distT="0" distB="0" distL="0" distR="0">
            <wp:extent cx="217805" cy="207010"/>
            <wp:effectExtent l="0" t="0" r="0" b="254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23"/>
                    <a:stretch>
                      <a:fillRect/>
                    </a:stretch>
                  </pic:blipFill>
                  <pic:spPr>
                    <a:xfrm>
                      <a:off x="0" y="0"/>
                      <a:ext cx="233324" cy="221657"/>
                    </a:xfrm>
                    <a:prstGeom prst="rect">
                      <a:avLst/>
                    </a:prstGeom>
                  </pic:spPr>
                </pic:pic>
              </a:graphicData>
            </a:graphic>
          </wp:inline>
        </w:drawing>
      </w:r>
      <w:r>
        <w:rPr>
          <w:rFonts w:hint="eastAsia"/>
        </w:rPr>
        <w:t>，进行分析参数设置。</w:t>
      </w:r>
    </w:p>
    <w:p w14:paraId="32F06322">
      <w:pPr>
        <w:pStyle w:val="15"/>
        <w:ind w:firstLine="480"/>
      </w:pPr>
      <w:r>
        <w:rPr>
          <w:rFonts w:hint="eastAsia"/>
        </w:rPr>
        <w:t>设置采样点数：1024；采样频率：800</w:t>
      </w:r>
      <w:r>
        <w:t>Hz</w:t>
      </w:r>
      <w:r>
        <w:rPr>
          <w:rFonts w:hint="eastAsia"/>
        </w:rPr>
        <w:t>；加窗类型：Ha</w:t>
      </w:r>
      <w:r>
        <w:t>nning</w:t>
      </w:r>
      <w:r>
        <w:rPr>
          <w:rFonts w:hint="eastAsia"/>
        </w:rPr>
        <w:t>；不平均、无触发、自由运行、不延时。实际测试中，通常采样频率设置成接入信号频率的3-</w:t>
      </w:r>
      <w:r>
        <w:t>5</w:t>
      </w:r>
      <w:r>
        <w:rPr>
          <w:rFonts w:hint="eastAsia"/>
        </w:rPr>
        <w:t>倍，但是如果需要在时域看到准确的信号幅值则采样频率往往需要设置为信号频率的10倍或更高。在测试过程中，用户根据实际信号可适当调整采样频率。</w:t>
      </w:r>
    </w:p>
    <w:p w14:paraId="090EC769">
      <w:pPr>
        <w:pStyle w:val="15"/>
        <w:ind w:firstLine="0" w:firstLineChars="0"/>
        <w:jc w:val="center"/>
      </w:pPr>
      <w:r>
        <w:drawing>
          <wp:inline distT="0" distB="0" distL="0" distR="0">
            <wp:extent cx="3134995" cy="3808730"/>
            <wp:effectExtent l="0" t="0" r="825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stretch>
                      <a:fillRect/>
                    </a:stretch>
                  </pic:blipFill>
                  <pic:spPr>
                    <a:xfrm>
                      <a:off x="0" y="0"/>
                      <a:ext cx="3135600" cy="3808800"/>
                    </a:xfrm>
                    <a:prstGeom prst="rect">
                      <a:avLst/>
                    </a:prstGeom>
                  </pic:spPr>
                </pic:pic>
              </a:graphicData>
            </a:graphic>
          </wp:inline>
        </w:drawing>
      </w:r>
    </w:p>
    <w:p w14:paraId="4D97B7E3">
      <w:pPr>
        <w:pStyle w:val="15"/>
        <w:ind w:firstLine="480"/>
      </w:pPr>
      <w:r>
        <w:t>软件中</w:t>
      </w:r>
      <w:r>
        <w:rPr>
          <w:rFonts w:hint="eastAsia"/>
        </w:rPr>
        <w:t>，采样点数和分析谱线是2.56倍的关系，采样频率和分析频宽是2.56倍的关系。设置时只需要确定一组中的一个，另一个就确定了。</w:t>
      </w:r>
    </w:p>
    <w:p w14:paraId="462F5B09">
      <w:pPr>
        <w:pStyle w:val="15"/>
        <w:numPr>
          <w:ilvl w:val="0"/>
          <w:numId w:val="16"/>
        </w:numPr>
        <w:ind w:left="465" w:firstLine="15" w:firstLineChars="0"/>
      </w:pPr>
      <w:r>
        <w:rPr>
          <w:rFonts w:hint="eastAsia"/>
        </w:rPr>
        <w:t>显示设置</w:t>
      </w:r>
    </w:p>
    <w:p w14:paraId="1D9F0156">
      <w:pPr>
        <w:pStyle w:val="15"/>
        <w:ind w:firstLine="480"/>
      </w:pPr>
      <w:r>
        <w:rPr>
          <w:rFonts w:hint="eastAsia"/>
        </w:rPr>
        <w:t>实验数据显示：默认的“时频显示1”为双窗格，在上</w:t>
      </w:r>
      <w:r>
        <w:t>窗格中</w:t>
      </w:r>
      <w:r>
        <w:rPr>
          <w:rFonts w:hint="eastAsia"/>
        </w:rPr>
        <w:t>默认</w:t>
      </w:r>
      <w:r>
        <w:t>显示的是</w:t>
      </w:r>
      <w:r>
        <w:rPr>
          <w:rFonts w:hint="eastAsia"/>
        </w:rPr>
        <w:t>“In</w:t>
      </w:r>
      <w:r>
        <w:t>put1(t)</w:t>
      </w:r>
      <w:r>
        <w:rPr>
          <w:rFonts w:hint="eastAsia"/>
        </w:rPr>
        <w:t>”，为位移传感器的时域信号。下</w:t>
      </w:r>
      <w:r>
        <w:t>窗格中默认显示的是</w:t>
      </w:r>
      <w:r>
        <w:rPr>
          <w:rFonts w:hint="eastAsia"/>
        </w:rPr>
        <w:t>“G1,1(f)”，为位移传感器的自功率谱信号。在自功率谱信号的Y轴坐标上单击</w:t>
      </w:r>
      <w:r>
        <w:t>鼠标右键</w:t>
      </w:r>
      <w:r>
        <w:rPr>
          <w:rFonts w:hint="eastAsia"/>
        </w:rPr>
        <w:t>，在弹出的选项中选“对数”，再次操作</w:t>
      </w:r>
      <w:r>
        <w:t>选择</w:t>
      </w:r>
      <w:r>
        <w:rPr>
          <w:rFonts w:hint="eastAsia"/>
        </w:rPr>
        <w:t>“Peak”，这时自功率谱信号窗格显示的是位移传感器信号的频域幅值谱。</w:t>
      </w:r>
    </w:p>
    <w:p w14:paraId="66F8CA2B">
      <w:pPr>
        <w:pStyle w:val="15"/>
        <w:ind w:firstLine="480"/>
        <w:jc w:val="center"/>
      </w:pPr>
      <w:r>
        <w:drawing>
          <wp:inline distT="0" distB="0" distL="0" distR="0">
            <wp:extent cx="1205230" cy="237172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206386" cy="2372890"/>
                    </a:xfrm>
                    <a:prstGeom prst="rect">
                      <a:avLst/>
                    </a:prstGeom>
                    <a:noFill/>
                    <a:ln>
                      <a:noFill/>
                    </a:ln>
                  </pic:spPr>
                </pic:pic>
              </a:graphicData>
            </a:graphic>
          </wp:inline>
        </w:drawing>
      </w:r>
    </w:p>
    <w:p w14:paraId="7521F917">
      <w:pPr>
        <w:pStyle w:val="15"/>
        <w:ind w:firstLine="480"/>
      </w:pPr>
      <w:r>
        <w:rPr>
          <w:rFonts w:hint="eastAsia"/>
        </w:rPr>
        <w:t>在上窗格中鼠标右键单击，在弹出的右键菜单中选择“窗口</w:t>
      </w:r>
      <w:r>
        <w:t>图</w:t>
      </w:r>
      <w:r>
        <w:rPr>
          <w:rFonts w:hint="eastAsia"/>
        </w:rPr>
        <w:t>形</w:t>
      </w:r>
      <w:r>
        <w:t>-增加列</w:t>
      </w:r>
      <w:r>
        <w:rPr>
          <w:rFonts w:hint="eastAsia"/>
        </w:rPr>
        <w:t>”，就变成了2*2的四窗格。再做在窗格中单击鼠标右键，在弹出的右键菜单中选择“窗口</w:t>
      </w:r>
      <w:r>
        <w:t>图</w:t>
      </w:r>
      <w:r>
        <w:rPr>
          <w:rFonts w:hint="eastAsia"/>
        </w:rPr>
        <w:t>形</w:t>
      </w:r>
      <w:r>
        <w:t>-增加列</w:t>
      </w:r>
      <w:r>
        <w:rPr>
          <w:rFonts w:hint="eastAsia"/>
        </w:rPr>
        <w:t>”，就变成了2*3的六窗格。在第一行的中间窗格和右侧</w:t>
      </w:r>
      <w:r>
        <w:t>窗格中分别单击鼠标</w:t>
      </w:r>
      <w:r>
        <w:rPr>
          <w:rFonts w:hint="eastAsia"/>
        </w:rPr>
        <w:t>右键</w:t>
      </w:r>
      <w:r>
        <w:t>，在弹出的右键菜单中</w:t>
      </w:r>
      <w:r>
        <w:rPr>
          <w:rFonts w:hint="eastAsia"/>
        </w:rPr>
        <w:t>选择“显示</w:t>
      </w:r>
      <w:r>
        <w:t>设置</w:t>
      </w:r>
      <w:r>
        <w:rPr>
          <w:rFonts w:hint="eastAsia"/>
        </w:rPr>
        <w:t>”，在“显示设置”对话框中分别选择“</w:t>
      </w:r>
      <w:r>
        <w:t>Input2</w:t>
      </w:r>
      <w:r>
        <w:rPr>
          <w:rFonts w:hint="eastAsia"/>
        </w:rPr>
        <w:t>(</w:t>
      </w:r>
      <w:r>
        <w:t>t</w:t>
      </w:r>
      <w:r>
        <w:rPr>
          <w:rFonts w:hint="eastAsia"/>
        </w:rPr>
        <w:t>)”和“</w:t>
      </w:r>
      <w:r>
        <w:t>Input</w:t>
      </w:r>
      <w:r>
        <w:rPr>
          <w:rFonts w:hint="eastAsia"/>
        </w:rPr>
        <w:t>3(</w:t>
      </w:r>
      <w:r>
        <w:t>t</w:t>
      </w:r>
      <w:r>
        <w:rPr>
          <w:rFonts w:hint="eastAsia"/>
        </w:rPr>
        <w:t>)”，显示转速脉冲和加速度时域信号。同样操作，在第二行的右侧</w:t>
      </w:r>
      <w:r>
        <w:t>窗格中</w:t>
      </w:r>
      <w:r>
        <w:rPr>
          <w:rFonts w:hint="eastAsia"/>
        </w:rPr>
        <w:t>选择 “G3,3(</w:t>
      </w:r>
      <w:r>
        <w:t>f</w:t>
      </w:r>
      <w:r>
        <w:rPr>
          <w:rFonts w:hint="eastAsia"/>
        </w:rPr>
        <w:t>)”，显示加速度自功率谱信号。或者是直接从左侧“函数”栏中，将对应的信号拖到右侧窗格中显示。在加速度自功率谱信号的Y轴坐标上单击</w:t>
      </w:r>
      <w:r>
        <w:t>鼠标右键</w:t>
      </w:r>
      <w:r>
        <w:rPr>
          <w:rFonts w:hint="eastAsia"/>
        </w:rPr>
        <w:t>，在弹出的选项中选“对数”，再次操作</w:t>
      </w:r>
      <w:r>
        <w:t>选择</w:t>
      </w:r>
      <w:r>
        <w:rPr>
          <w:rFonts w:hint="eastAsia"/>
        </w:rPr>
        <w:t>“Peak”，这时自功率谱信号窗格显示的是加速度传感器信号的频域幅值谱。</w:t>
      </w:r>
    </w:p>
    <w:p w14:paraId="201D3637">
      <w:pPr>
        <w:pStyle w:val="15"/>
        <w:ind w:firstLine="480"/>
      </w:pPr>
      <w:r>
        <w:t>在第二行</w:t>
      </w:r>
      <w:r>
        <w:rPr>
          <w:rFonts w:hint="eastAsia"/>
        </w:rPr>
        <w:t>中间</w:t>
      </w:r>
      <w:r>
        <w:t>窗格</w:t>
      </w:r>
      <w:r>
        <w:rPr>
          <w:rFonts w:hint="eastAsia"/>
        </w:rPr>
        <w:t>单</w:t>
      </w:r>
      <w:r>
        <w:t>击鼠标右键</w:t>
      </w:r>
      <w:r>
        <w:rPr>
          <w:rFonts w:hint="eastAsia"/>
        </w:rPr>
        <w:t>，</w:t>
      </w:r>
      <w:r>
        <w:t>在弹出的右键菜单中选择</w:t>
      </w:r>
      <w:r>
        <w:rPr>
          <w:rFonts w:hint="eastAsia"/>
        </w:rPr>
        <w:t>“函数计算”。</w:t>
      </w:r>
    </w:p>
    <w:p w14:paraId="230E3E0F">
      <w:pPr>
        <w:ind w:firstLine="199" w:firstLineChars="83"/>
        <w:jc w:val="center"/>
      </w:pPr>
      <w:r>
        <w:drawing>
          <wp:inline distT="0" distB="0" distL="0" distR="0">
            <wp:extent cx="1047115" cy="2577465"/>
            <wp:effectExtent l="0" t="0" r="635"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047600" cy="2577600"/>
                    </a:xfrm>
                    <a:prstGeom prst="rect">
                      <a:avLst/>
                    </a:prstGeom>
                    <a:noFill/>
                    <a:ln>
                      <a:noFill/>
                    </a:ln>
                  </pic:spPr>
                </pic:pic>
              </a:graphicData>
            </a:graphic>
          </wp:inline>
        </w:drawing>
      </w:r>
    </w:p>
    <w:p w14:paraId="2AFAA679">
      <w:pPr>
        <w:pStyle w:val="15"/>
        <w:ind w:firstLine="480"/>
      </w:pPr>
      <w:r>
        <w:rPr>
          <w:rFonts w:hint="eastAsia"/>
        </w:rPr>
        <w:t>在弹出的“用户定义函数”对话框中，选择“分析计算——Tacho(x)”，右侧的“x=”选择“Input2(t)”，光电式转速传感器对应的“每转脉冲数”根据反光贴纸/黑贴纸的数量来设置，触发沿可以是上升沿或下降沿，低电平和高电平根据传感器的信号区间来设定，本次实验的光电式传感器电压范围为0~5V，我们选取中间一段，低电平可以设置为3V，高电平设置为4V，或者根据实际时域信号的区间取中间值，确定。</w:t>
      </w:r>
    </w:p>
    <w:p w14:paraId="022D0AF4">
      <w:pPr>
        <w:ind w:firstLine="199" w:firstLineChars="83"/>
        <w:jc w:val="center"/>
      </w:pPr>
      <w:r>
        <w:drawing>
          <wp:inline distT="0" distB="0" distL="0" distR="0">
            <wp:extent cx="5278120" cy="3312795"/>
            <wp:effectExtent l="0" t="0" r="0" b="190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pic:cNvPicPr>
                      <a:picLocks noChangeAspect="1"/>
                    </pic:cNvPicPr>
                  </pic:nvPicPr>
                  <pic:blipFill>
                    <a:blip r:embed="rId28"/>
                    <a:stretch>
                      <a:fillRect/>
                    </a:stretch>
                  </pic:blipFill>
                  <pic:spPr>
                    <a:xfrm>
                      <a:off x="0" y="0"/>
                      <a:ext cx="5278120" cy="3312876"/>
                    </a:xfrm>
                    <a:prstGeom prst="rect">
                      <a:avLst/>
                    </a:prstGeom>
                  </pic:spPr>
                </pic:pic>
              </a:graphicData>
            </a:graphic>
          </wp:inline>
        </w:drawing>
      </w:r>
    </w:p>
    <w:p w14:paraId="4906EB0E">
      <w:pPr>
        <w:pStyle w:val="15"/>
        <w:ind w:firstLine="480"/>
      </w:pPr>
    </w:p>
    <w:p w14:paraId="797BB5FD">
      <w:pPr>
        <w:pStyle w:val="15"/>
        <w:ind w:firstLine="480"/>
      </w:pPr>
      <w:r>
        <w:t>让时频显示</w:t>
      </w:r>
      <w:r>
        <w:rPr>
          <w:rFonts w:hint="eastAsia"/>
        </w:rPr>
        <w:t>1的6个窗格分别显示“In</w:t>
      </w:r>
      <w:r>
        <w:t>put1</w:t>
      </w:r>
      <w:r>
        <w:rPr>
          <w:rFonts w:hint="eastAsia"/>
        </w:rPr>
        <w:t>(</w:t>
      </w:r>
      <w:r>
        <w:t>t</w:t>
      </w:r>
      <w:r>
        <w:rPr>
          <w:rFonts w:hint="eastAsia"/>
        </w:rPr>
        <w:t>)、</w:t>
      </w:r>
      <w:r>
        <w:t>Input2</w:t>
      </w:r>
      <w:r>
        <w:rPr>
          <w:rFonts w:hint="eastAsia"/>
        </w:rPr>
        <w:t>(</w:t>
      </w:r>
      <w:r>
        <w:t>t</w:t>
      </w:r>
      <w:r>
        <w:rPr>
          <w:rFonts w:hint="eastAsia"/>
        </w:rPr>
        <w:t>)、</w:t>
      </w:r>
      <w:r>
        <w:t>Input</w:t>
      </w:r>
      <w:r>
        <w:rPr>
          <w:rFonts w:hint="eastAsia"/>
        </w:rPr>
        <w:t>3(</w:t>
      </w:r>
      <w:r>
        <w:t>t</w:t>
      </w:r>
      <w:r>
        <w:rPr>
          <w:rFonts w:hint="eastAsia"/>
        </w:rPr>
        <w:t>)、G1,</w:t>
      </w:r>
      <w:r>
        <w:t>1(f)</w:t>
      </w:r>
      <w:r>
        <w:rPr>
          <w:rFonts w:hint="eastAsia"/>
        </w:rPr>
        <w:t>、Tacho(</w:t>
      </w:r>
      <w:r>
        <w:t>Input2</w:t>
      </w:r>
      <w:r>
        <w:rPr>
          <w:rFonts w:hint="eastAsia"/>
        </w:rPr>
        <w:t>(</w:t>
      </w:r>
      <w:r>
        <w:t>t</w:t>
      </w:r>
      <w:r>
        <w:rPr>
          <w:rFonts w:hint="eastAsia"/>
        </w:rPr>
        <w:t>))、G3,3(</w:t>
      </w:r>
      <w:r>
        <w:t>f</w:t>
      </w:r>
      <w:r>
        <w:rPr>
          <w:rFonts w:hint="eastAsia"/>
        </w:rPr>
        <w:t>)”。</w:t>
      </w:r>
    </w:p>
    <w:p w14:paraId="17BB7E90">
      <w:pPr>
        <w:pStyle w:val="15"/>
        <w:ind w:firstLine="480"/>
        <w:jc w:val="center"/>
      </w:pPr>
      <w:r>
        <w:drawing>
          <wp:inline distT="0" distB="0" distL="0" distR="0">
            <wp:extent cx="5278120" cy="2783205"/>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pic:cNvPicPr>
                      <a:picLocks noChangeAspect="1"/>
                    </pic:cNvPicPr>
                  </pic:nvPicPr>
                  <pic:blipFill>
                    <a:blip r:embed="rId42"/>
                    <a:stretch>
                      <a:fillRect/>
                    </a:stretch>
                  </pic:blipFill>
                  <pic:spPr>
                    <a:xfrm>
                      <a:off x="0" y="0"/>
                      <a:ext cx="5278120" cy="2783231"/>
                    </a:xfrm>
                    <a:prstGeom prst="rect">
                      <a:avLst/>
                    </a:prstGeom>
                  </pic:spPr>
                </pic:pic>
              </a:graphicData>
            </a:graphic>
          </wp:inline>
        </w:drawing>
      </w:r>
    </w:p>
    <w:p w14:paraId="60BD5C93">
      <w:pPr>
        <w:pStyle w:val="15"/>
        <w:ind w:firstLine="480"/>
      </w:pPr>
      <w:r>
        <w:t>在时域信号的显示设置对话框中</w:t>
      </w:r>
      <w:r>
        <w:rPr>
          <w:rFonts w:hint="eastAsia"/>
        </w:rPr>
        <w:t>，还</w:t>
      </w:r>
      <w:r>
        <w:t>可勾选显示信号的特征值</w:t>
      </w:r>
      <w:r>
        <w:rPr>
          <w:rFonts w:hint="eastAsia"/>
        </w:rPr>
        <w:t>，</w:t>
      </w:r>
      <w:r>
        <w:t>如最大值</w:t>
      </w:r>
      <w:r>
        <w:rPr>
          <w:rFonts w:hint="eastAsia"/>
        </w:rPr>
        <w:t>、</w:t>
      </w:r>
      <w:r>
        <w:t>最小值</w:t>
      </w:r>
      <w:r>
        <w:rPr>
          <w:rFonts w:hint="eastAsia"/>
        </w:rPr>
        <w:t>、</w:t>
      </w:r>
      <w:r>
        <w:t>平均值</w:t>
      </w:r>
      <w:r>
        <w:rPr>
          <w:rFonts w:hint="eastAsia"/>
        </w:rPr>
        <w:t>、</w:t>
      </w:r>
      <w:r>
        <w:t>有效值等</w:t>
      </w:r>
      <w:r>
        <w:rPr>
          <w:rFonts w:hint="eastAsia"/>
        </w:rPr>
        <w:t>。</w:t>
      </w:r>
    </w:p>
    <w:p w14:paraId="37A956E4">
      <w:pPr>
        <w:pStyle w:val="15"/>
        <w:ind w:firstLine="0" w:firstLineChars="0"/>
        <w:jc w:val="center"/>
        <w:rPr>
          <w:kern w:val="0"/>
        </w:rPr>
      </w:pPr>
      <w:r>
        <w:drawing>
          <wp:inline distT="0" distB="0" distL="0" distR="0">
            <wp:extent cx="3142615" cy="3891280"/>
            <wp:effectExtent l="0" t="0" r="635"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pic:cNvPicPr>
                      <a:picLocks noChangeAspect="1"/>
                    </pic:cNvPicPr>
                  </pic:nvPicPr>
                  <pic:blipFill>
                    <a:blip r:embed="rId43"/>
                    <a:stretch>
                      <a:fillRect/>
                    </a:stretch>
                  </pic:blipFill>
                  <pic:spPr>
                    <a:xfrm>
                      <a:off x="0" y="0"/>
                      <a:ext cx="3142800" cy="3891600"/>
                    </a:xfrm>
                    <a:prstGeom prst="rect">
                      <a:avLst/>
                    </a:prstGeom>
                  </pic:spPr>
                </pic:pic>
              </a:graphicData>
            </a:graphic>
          </wp:inline>
        </w:drawing>
      </w:r>
    </w:p>
    <w:p w14:paraId="27360CE8">
      <w:pPr>
        <w:pStyle w:val="15"/>
        <w:numPr>
          <w:ilvl w:val="0"/>
          <w:numId w:val="16"/>
        </w:numPr>
        <w:ind w:left="465" w:firstLine="15" w:firstLineChars="0"/>
      </w:pPr>
      <w:r>
        <w:rPr>
          <w:rFonts w:hint="eastAsia"/>
        </w:rPr>
        <w:t>采集通道间的相位差时的设置</w:t>
      </w:r>
    </w:p>
    <w:p w14:paraId="48F63CAF">
      <w:pPr>
        <w:pStyle w:val="15"/>
        <w:ind w:firstLine="480"/>
      </w:pPr>
      <w:r>
        <w:rPr>
          <w:rFonts w:hint="eastAsia"/>
        </w:rPr>
        <w:t>点击工具栏上的</w:t>
      </w:r>
      <w:r>
        <w:rPr>
          <w:rFonts w:hint="eastAsia"/>
        </w:rPr>
        <w:drawing>
          <wp:inline distT="0" distB="0" distL="0" distR="0">
            <wp:extent cx="276225" cy="2476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76225" cy="247650"/>
                    </a:xfrm>
                    <a:prstGeom prst="rect">
                      <a:avLst/>
                    </a:prstGeom>
                    <a:noFill/>
                    <a:ln>
                      <a:noFill/>
                    </a:ln>
                  </pic:spPr>
                </pic:pic>
              </a:graphicData>
            </a:graphic>
          </wp:inline>
        </w:drawing>
      </w:r>
      <w:r>
        <w:rPr>
          <w:rFonts w:hint="eastAsia"/>
        </w:rPr>
        <w:t>，进行测试内容的设置。</w:t>
      </w:r>
    </w:p>
    <w:p w14:paraId="50575C08">
      <w:pPr>
        <w:pStyle w:val="15"/>
        <w:ind w:left="1272" w:firstLine="2" w:firstLineChars="1"/>
      </w:pPr>
      <w:r>
        <w:drawing>
          <wp:inline distT="0" distB="0" distL="0" distR="0">
            <wp:extent cx="3524250" cy="29083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3524400" cy="2908800"/>
                    </a:xfrm>
                    <a:prstGeom prst="rect">
                      <a:avLst/>
                    </a:prstGeom>
                  </pic:spPr>
                </pic:pic>
              </a:graphicData>
            </a:graphic>
          </wp:inline>
        </w:drawing>
      </w:r>
    </w:p>
    <w:p w14:paraId="5E12266E">
      <w:pPr>
        <w:pStyle w:val="15"/>
        <w:ind w:firstLine="480"/>
      </w:pPr>
      <w:r>
        <w:rPr>
          <w:rFonts w:hint="eastAsia"/>
        </w:rPr>
        <w:t>选中“频率响应”，点击“编辑”，在弹出的频率响应对话框中选择H1,3(f)，确定。</w:t>
      </w:r>
    </w:p>
    <w:p w14:paraId="6DDC69E5">
      <w:pPr>
        <w:pStyle w:val="15"/>
        <w:ind w:firstLine="2" w:firstLineChars="1"/>
        <w:jc w:val="center"/>
      </w:pPr>
      <w:r>
        <w:drawing>
          <wp:inline distT="0" distB="0" distL="0" distR="0">
            <wp:extent cx="3091815" cy="2944495"/>
            <wp:effectExtent l="0" t="0" r="6985" b="190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pic:cNvPicPr>
                      <a:picLocks noChangeAspect="1"/>
                    </pic:cNvPicPr>
                  </pic:nvPicPr>
                  <pic:blipFill>
                    <a:blip r:embed="rId46"/>
                    <a:stretch>
                      <a:fillRect/>
                    </a:stretch>
                  </pic:blipFill>
                  <pic:spPr>
                    <a:xfrm>
                      <a:off x="0" y="0"/>
                      <a:ext cx="3092400" cy="2944800"/>
                    </a:xfrm>
                    <a:prstGeom prst="rect">
                      <a:avLst/>
                    </a:prstGeom>
                  </pic:spPr>
                </pic:pic>
              </a:graphicData>
            </a:graphic>
          </wp:inline>
        </w:drawing>
      </w:r>
    </w:p>
    <w:p w14:paraId="77E6677D">
      <w:pPr>
        <w:pStyle w:val="15"/>
        <w:ind w:firstLine="480"/>
      </w:pPr>
      <w:r>
        <w:rPr>
          <w:rFonts w:hint="eastAsia"/>
        </w:rPr>
        <w:t>点击工具栏上的</w:t>
      </w:r>
      <w:r>
        <w:rPr>
          <w:rFonts w:hint="eastAsia"/>
        </w:rPr>
        <w:drawing>
          <wp:inline distT="0" distB="0" distL="0" distR="0">
            <wp:extent cx="247650" cy="257175"/>
            <wp:effectExtent l="0" t="0" r="0"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47650" cy="257175"/>
                    </a:xfrm>
                    <a:prstGeom prst="rect">
                      <a:avLst/>
                    </a:prstGeom>
                    <a:noFill/>
                    <a:ln>
                      <a:noFill/>
                    </a:ln>
                  </pic:spPr>
                </pic:pic>
              </a:graphicData>
            </a:graphic>
          </wp:inline>
        </w:drawing>
      </w:r>
      <w:r>
        <w:rPr>
          <w:rFonts w:hint="eastAsia"/>
        </w:rPr>
        <w:t>，打开波德图窗口，任意一个窗格中点击右键，</w:t>
      </w:r>
      <w:r>
        <w:t>在弹出的右键菜单中</w:t>
      </w:r>
      <w:r>
        <w:rPr>
          <w:rFonts w:hint="eastAsia"/>
        </w:rPr>
        <w:t>选择“显示</w:t>
      </w:r>
      <w:r>
        <w:t>设置</w:t>
      </w:r>
      <w:r>
        <w:rPr>
          <w:rFonts w:hint="eastAsia"/>
        </w:rPr>
        <w:t>”，在“显示设置”对话框中选中“H1,3(f)”显示频响信号，确定。或者直接从左侧函数面板中，将“H1,3(f)”拖动到波德图中显示。</w:t>
      </w:r>
    </w:p>
    <w:p w14:paraId="2A19E34E">
      <w:pPr>
        <w:ind w:firstLine="0" w:firstLineChars="0"/>
        <w:jc w:val="center"/>
      </w:pPr>
      <w:r>
        <w:drawing>
          <wp:inline distT="0" distB="0" distL="0" distR="0">
            <wp:extent cx="3142615" cy="3891280"/>
            <wp:effectExtent l="0" t="0" r="63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pic:cNvPicPr>
                      <a:picLocks noChangeAspect="1"/>
                    </pic:cNvPicPr>
                  </pic:nvPicPr>
                  <pic:blipFill>
                    <a:blip r:embed="rId48"/>
                    <a:stretch>
                      <a:fillRect/>
                    </a:stretch>
                  </pic:blipFill>
                  <pic:spPr>
                    <a:xfrm>
                      <a:off x="0" y="0"/>
                      <a:ext cx="3142800" cy="3891600"/>
                    </a:xfrm>
                    <a:prstGeom prst="rect">
                      <a:avLst/>
                    </a:prstGeom>
                  </pic:spPr>
                </pic:pic>
              </a:graphicData>
            </a:graphic>
          </wp:inline>
        </w:drawing>
      </w:r>
    </w:p>
    <w:p w14:paraId="6E19110D">
      <w:pPr>
        <w:pStyle w:val="15"/>
        <w:ind w:firstLine="480"/>
      </w:pPr>
      <w:r>
        <w:rPr>
          <w:rFonts w:hint="eastAsia"/>
        </w:rPr>
        <w:t>波德图为上、下两个窗格，上窗格为幅值比，下窗格为相位差。</w:t>
      </w:r>
    </w:p>
    <w:p w14:paraId="6EA1AC6F">
      <w:pPr>
        <w:pStyle w:val="15"/>
        <w:ind w:firstLine="480"/>
        <w:rPr>
          <w:kern w:val="0"/>
        </w:rPr>
      </w:pPr>
      <w:r>
        <w:drawing>
          <wp:inline distT="0" distB="0" distL="0" distR="0">
            <wp:extent cx="5278120" cy="2783205"/>
            <wp:effectExtent l="0" t="0" r="5080" b="1079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3"/>
                    <pic:cNvPicPr>
                      <a:picLocks noChangeAspect="1"/>
                    </pic:cNvPicPr>
                  </pic:nvPicPr>
                  <pic:blipFill>
                    <a:blip r:embed="rId49"/>
                    <a:stretch>
                      <a:fillRect/>
                    </a:stretch>
                  </pic:blipFill>
                  <pic:spPr>
                    <a:xfrm>
                      <a:off x="0" y="0"/>
                      <a:ext cx="5278120" cy="2783231"/>
                    </a:xfrm>
                    <a:prstGeom prst="rect">
                      <a:avLst/>
                    </a:prstGeom>
                  </pic:spPr>
                </pic:pic>
              </a:graphicData>
            </a:graphic>
          </wp:inline>
        </w:drawing>
      </w:r>
    </w:p>
    <w:p w14:paraId="06BBB68C">
      <w:pPr>
        <w:pStyle w:val="15"/>
        <w:ind w:firstLine="480"/>
        <w:rPr>
          <w:kern w:val="0"/>
        </w:rPr>
      </w:pPr>
      <w:r>
        <w:rPr>
          <w:rFonts w:hint="eastAsia"/>
          <w:kern w:val="0"/>
        </w:rPr>
        <w:t>查看相位差时，一般先查看自功率谱幅值最大对应的信号频率。再根据这个频率查看波德图上该频率处位移和加速度信号间的相位差。</w:t>
      </w:r>
    </w:p>
    <w:p w14:paraId="46DFC40D">
      <w:pPr>
        <w:pStyle w:val="15"/>
        <w:numPr>
          <w:ilvl w:val="0"/>
          <w:numId w:val="16"/>
        </w:numPr>
        <w:ind w:left="465" w:firstLine="15" w:firstLineChars="0"/>
      </w:pPr>
      <w:r>
        <w:rPr>
          <w:rFonts w:hint="eastAsia"/>
        </w:rPr>
        <w:t>实时数据记录的设置</w:t>
      </w:r>
    </w:p>
    <w:p w14:paraId="3C4E6A08">
      <w:pPr>
        <w:pStyle w:val="15"/>
        <w:ind w:firstLine="480"/>
      </w:pPr>
      <w:r>
        <w:rPr>
          <w:rFonts w:hint="eastAsia"/>
        </w:rPr>
        <w:t>点击工具栏上的</w:t>
      </w:r>
      <w:r>
        <w:rPr>
          <w:rFonts w:hint="eastAsia"/>
        </w:rPr>
        <w:drawing>
          <wp:inline distT="0" distB="0" distL="0" distR="0">
            <wp:extent cx="257175" cy="238125"/>
            <wp:effectExtent l="0" t="0" r="9525"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57175" cy="238125"/>
                    </a:xfrm>
                    <a:prstGeom prst="rect">
                      <a:avLst/>
                    </a:prstGeom>
                    <a:noFill/>
                    <a:ln>
                      <a:noFill/>
                    </a:ln>
                  </pic:spPr>
                </pic:pic>
              </a:graphicData>
            </a:graphic>
          </wp:inline>
        </w:drawing>
      </w:r>
      <w:r>
        <w:rPr>
          <w:rFonts w:hint="eastAsia"/>
        </w:rPr>
        <w:t>，进行数据记录的存储设置。在“数据记录”下，将需要记录数据的输入通道类型设置为“存储”。</w:t>
      </w:r>
    </w:p>
    <w:p w14:paraId="262B06B0">
      <w:pPr>
        <w:pStyle w:val="15"/>
        <w:ind w:firstLine="0" w:firstLineChars="0"/>
        <w:jc w:val="center"/>
      </w:pPr>
      <w:r>
        <w:drawing>
          <wp:inline distT="0" distB="0" distL="0" distR="0">
            <wp:extent cx="4247515" cy="3747135"/>
            <wp:effectExtent l="0" t="0" r="635" b="571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a:picLocks noChangeAspect="1"/>
                    </pic:cNvPicPr>
                  </pic:nvPicPr>
                  <pic:blipFill>
                    <a:blip r:embed="rId50"/>
                    <a:stretch>
                      <a:fillRect/>
                    </a:stretch>
                  </pic:blipFill>
                  <pic:spPr>
                    <a:xfrm>
                      <a:off x="0" y="0"/>
                      <a:ext cx="4248000" cy="3747600"/>
                    </a:xfrm>
                    <a:prstGeom prst="rect">
                      <a:avLst/>
                    </a:prstGeom>
                  </pic:spPr>
                </pic:pic>
              </a:graphicData>
            </a:graphic>
          </wp:inline>
        </w:drawing>
      </w:r>
    </w:p>
    <w:p w14:paraId="23295621">
      <w:pPr>
        <w:pStyle w:val="15"/>
        <w:numPr>
          <w:ilvl w:val="0"/>
          <w:numId w:val="16"/>
        </w:numPr>
        <w:ind w:left="465" w:firstLine="15" w:firstLineChars="0"/>
      </w:pPr>
      <w:r>
        <w:rPr>
          <w:rFonts w:hint="eastAsia"/>
        </w:rPr>
        <w:t>开始采集数据</w:t>
      </w:r>
    </w:p>
    <w:p w14:paraId="477B672E">
      <w:pPr>
        <w:pStyle w:val="15"/>
        <w:ind w:firstLine="480"/>
      </w:pPr>
      <w:r>
        <w:rPr>
          <w:rFonts w:hint="eastAsia"/>
        </w:rPr>
        <w:t>再次确认试验连线和参数设置。</w:t>
      </w:r>
    </w:p>
    <w:p w14:paraId="48E97471">
      <w:pPr>
        <w:pStyle w:val="15"/>
        <w:ind w:firstLine="480"/>
      </w:pPr>
      <w:r>
        <w:rPr>
          <w:rFonts w:hint="eastAsia"/>
        </w:rPr>
        <w:t>确认转子教学模拟平台的转速调整旋钮为逆时针到底状态，接通转子实验台电源。</w:t>
      </w:r>
    </w:p>
    <w:p w14:paraId="05742017">
      <w:pPr>
        <w:pStyle w:val="15"/>
        <w:ind w:firstLine="480"/>
      </w:pPr>
      <w:r>
        <w:rPr>
          <w:rFonts w:hint="eastAsia"/>
        </w:rPr>
        <w:t>如果需要记录数据，则点击右侧控制面板的</w:t>
      </w:r>
      <w:r>
        <w:rPr>
          <w:rFonts w:hint="eastAsia"/>
        </w:rPr>
        <w:drawing>
          <wp:inline distT="0" distB="0" distL="0" distR="0">
            <wp:extent cx="240665" cy="240665"/>
            <wp:effectExtent l="0" t="0" r="6985" b="698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41200" cy="241200"/>
                    </a:xfrm>
                    <a:prstGeom prst="rect">
                      <a:avLst/>
                    </a:prstGeom>
                    <a:noFill/>
                    <a:ln>
                      <a:noFill/>
                    </a:ln>
                  </pic:spPr>
                </pic:pic>
              </a:graphicData>
            </a:graphic>
          </wp:inline>
        </w:drawing>
      </w:r>
      <w:r>
        <w:rPr>
          <w:rFonts w:hint="eastAsia"/>
        </w:rPr>
        <w:t>按钮，表示启用数据记录。</w:t>
      </w:r>
    </w:p>
    <w:p w14:paraId="61D71B6F">
      <w:pPr>
        <w:pStyle w:val="15"/>
        <w:ind w:firstLine="480"/>
      </w:pPr>
      <w:r>
        <w:rPr>
          <w:rFonts w:hint="eastAsia"/>
        </w:rPr>
        <w:t>点击</w:t>
      </w:r>
      <w:r>
        <w:drawing>
          <wp:inline distT="0" distB="0" distL="0" distR="0">
            <wp:extent cx="215265" cy="215265"/>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33" cstate="print"/>
                    <a:stretch>
                      <a:fillRect/>
                    </a:stretch>
                  </pic:blipFill>
                  <pic:spPr>
                    <a:xfrm flipV="1">
                      <a:off x="0" y="0"/>
                      <a:ext cx="216951" cy="216951"/>
                    </a:xfrm>
                    <a:prstGeom prst="rect">
                      <a:avLst/>
                    </a:prstGeom>
                  </pic:spPr>
                </pic:pic>
              </a:graphicData>
            </a:graphic>
          </wp:inline>
        </w:drawing>
      </w:r>
      <w:r>
        <w:rPr>
          <w:rFonts w:hint="eastAsia"/>
        </w:rPr>
        <w:t>按钮，开始测试，时频显示1的6个窗格显示信号数据。</w:t>
      </w:r>
    </w:p>
    <w:p w14:paraId="7E03FB8F">
      <w:pPr>
        <w:pStyle w:val="15"/>
        <w:ind w:firstLine="480"/>
      </w:pPr>
      <w:r>
        <w:rPr>
          <w:rFonts w:hint="eastAsia"/>
        </w:rPr>
        <w:t>从0 RPM开始，以每秒增加约50RPM的速度，由低到高增加电机的转速直到2500 RPM，同时观察光电转速传感器的转速值，位移传感器和加速度传感器采集到的时域信号、频谱幅值信号，进行比较。</w:t>
      </w:r>
    </w:p>
    <w:p w14:paraId="339EB681">
      <w:pPr>
        <w:pStyle w:val="15"/>
        <w:ind w:firstLine="480"/>
      </w:pPr>
      <w:r>
        <w:rPr>
          <w:rFonts w:hint="eastAsia"/>
        </w:rPr>
        <w:t>电机固定某个转速，比如低转速300RPM左右，查看位移、加速度的时域信号，可以明显看出他们间的相位差关系。另外，通过波德图添加光标，可以查看转速频率下加速度信号和位移信号间的相位差。也可以通过加速度、位移信号的FFT计算相位差。软件中具有“光标联动”功能，同类型的信号，比如同是频域信号，都添加线光标，而且在窗格右键菜单中都选择了“光标联动”，那么任何一个频域窗格的光标位置变化，其他相应窗格的线光标会联动。</w:t>
      </w:r>
    </w:p>
    <w:p w14:paraId="0BDB3E41">
      <w:pPr>
        <w:pStyle w:val="15"/>
        <w:ind w:firstLine="480"/>
        <w:jc w:val="center"/>
      </w:pPr>
      <w:r>
        <w:drawing>
          <wp:inline distT="0" distB="0" distL="0" distR="0">
            <wp:extent cx="1133475" cy="2375535"/>
            <wp:effectExtent l="0" t="0" r="9525" b="571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134000" cy="2376000"/>
                    </a:xfrm>
                    <a:prstGeom prst="rect">
                      <a:avLst/>
                    </a:prstGeom>
                    <a:noFill/>
                    <a:ln>
                      <a:noFill/>
                    </a:ln>
                  </pic:spPr>
                </pic:pic>
              </a:graphicData>
            </a:graphic>
          </wp:inline>
        </w:drawing>
      </w:r>
    </w:p>
    <w:p w14:paraId="783445ED">
      <w:pPr>
        <w:pStyle w:val="15"/>
        <w:numPr>
          <w:ilvl w:val="0"/>
          <w:numId w:val="16"/>
        </w:numPr>
        <w:ind w:left="465" w:firstLine="15" w:firstLineChars="0"/>
      </w:pPr>
      <w:r>
        <w:rPr>
          <w:rFonts w:hint="eastAsia"/>
        </w:rPr>
        <w:t>离线分析</w:t>
      </w:r>
    </w:p>
    <w:p w14:paraId="3601348D">
      <w:pPr>
        <w:pStyle w:val="15"/>
        <w:ind w:firstLine="480"/>
      </w:pPr>
      <w:r>
        <w:rPr>
          <w:rFonts w:hint="eastAsia"/>
        </w:rPr>
        <w:t>点击工具栏上的</w:t>
      </w:r>
      <w:r>
        <w:rPr>
          <w:rFonts w:hint="eastAsia"/>
        </w:rPr>
        <w:drawing>
          <wp:inline distT="0" distB="0" distL="0" distR="0">
            <wp:extent cx="228600" cy="200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28600" cy="200025"/>
                    </a:xfrm>
                    <a:prstGeom prst="rect">
                      <a:avLst/>
                    </a:prstGeom>
                    <a:noFill/>
                    <a:ln>
                      <a:noFill/>
                    </a:ln>
                  </pic:spPr>
                </pic:pic>
              </a:graphicData>
            </a:graphic>
          </wp:inline>
        </w:drawing>
      </w:r>
      <w:r>
        <w:rPr>
          <w:rFonts w:hint="eastAsia"/>
        </w:rPr>
        <w:t>，打开离线分析软件。单击“动态信号分析”按钮，进入动态信号分析的离线分析界面。</w:t>
      </w:r>
    </w:p>
    <w:p w14:paraId="6021FC4A">
      <w:pPr>
        <w:pStyle w:val="15"/>
        <w:ind w:firstLine="0" w:firstLineChars="0"/>
      </w:pPr>
      <w:r>
        <w:drawing>
          <wp:inline distT="0" distB="0" distL="0" distR="0">
            <wp:extent cx="4658360" cy="1904365"/>
            <wp:effectExtent l="0" t="0" r="889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stretch>
                      <a:fillRect/>
                    </a:stretch>
                  </pic:blipFill>
                  <pic:spPr>
                    <a:xfrm>
                      <a:off x="0" y="0"/>
                      <a:ext cx="4658400" cy="1904400"/>
                    </a:xfrm>
                    <a:prstGeom prst="rect">
                      <a:avLst/>
                    </a:prstGeom>
                  </pic:spPr>
                </pic:pic>
              </a:graphicData>
            </a:graphic>
          </wp:inline>
        </w:drawing>
      </w:r>
    </w:p>
    <w:p w14:paraId="10540C1E">
      <w:pPr>
        <w:pStyle w:val="15"/>
        <w:ind w:firstLine="480"/>
      </w:pPr>
      <w:r>
        <w:rPr>
          <w:rFonts w:hint="eastAsia"/>
        </w:rPr>
        <w:t>在弹出的“信号数据”对话框中，单击第一行的“数据文件”列，在弹出的打开文件对话框中，进入刚才数据记录文件所在的目录，选择“.dar”格式的数据记录文件打开。</w:t>
      </w:r>
    </w:p>
    <w:p w14:paraId="6FC36E7F">
      <w:pPr>
        <w:ind w:firstLine="0" w:firstLineChars="0"/>
      </w:pPr>
      <w:r>
        <w:drawing>
          <wp:inline distT="0" distB="0" distL="0" distR="0">
            <wp:extent cx="5278120" cy="27832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2"/>
                    <a:stretch>
                      <a:fillRect/>
                    </a:stretch>
                  </pic:blipFill>
                  <pic:spPr>
                    <a:xfrm>
                      <a:off x="0" y="0"/>
                      <a:ext cx="5278120" cy="2783231"/>
                    </a:xfrm>
                    <a:prstGeom prst="rect">
                      <a:avLst/>
                    </a:prstGeom>
                  </pic:spPr>
                </pic:pic>
              </a:graphicData>
            </a:graphic>
          </wp:inline>
        </w:drawing>
      </w:r>
    </w:p>
    <w:p w14:paraId="3EB8EF33">
      <w:pPr>
        <w:pStyle w:val="15"/>
        <w:ind w:firstLine="480"/>
      </w:pPr>
      <w:r>
        <w:rPr>
          <w:rFonts w:hint="eastAsia"/>
        </w:rPr>
        <w:t>浏览文件窗口可以看到在线测试整个过程的数据记录信号的缩略图。窗口中的红竖线可拖动，红线位置为数据分析的起点。</w:t>
      </w:r>
    </w:p>
    <w:p w14:paraId="6C4EF1AC">
      <w:pPr>
        <w:pStyle w:val="15"/>
        <w:ind w:firstLine="480"/>
      </w:pPr>
      <w:r>
        <w:rPr>
          <w:rFonts w:hint="eastAsia"/>
        </w:rPr>
        <w:t>点击工具栏上的</w:t>
      </w:r>
      <w:r>
        <w:rPr>
          <w:rFonts w:hint="eastAsia"/>
        </w:rPr>
        <w:drawing>
          <wp:inline distT="0" distB="0" distL="0" distR="0">
            <wp:extent cx="228600" cy="2000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28600" cy="200025"/>
                    </a:xfrm>
                    <a:prstGeom prst="rect">
                      <a:avLst/>
                    </a:prstGeom>
                    <a:noFill/>
                    <a:ln>
                      <a:noFill/>
                    </a:ln>
                  </pic:spPr>
                </pic:pic>
              </a:graphicData>
            </a:graphic>
          </wp:inline>
        </w:drawing>
      </w:r>
      <w:r>
        <w:rPr>
          <w:rFonts w:hint="eastAsia"/>
        </w:rPr>
        <w:t>按钮，新建“时频显示1”窗口，</w:t>
      </w:r>
      <w:r>
        <w:t>跟在线测量同样操作</w:t>
      </w:r>
      <w:r>
        <w:rPr>
          <w:rFonts w:hint="eastAsia"/>
        </w:rPr>
        <w:t>，</w:t>
      </w:r>
      <w:r>
        <w:t>让时频显示</w:t>
      </w:r>
      <w:r>
        <w:rPr>
          <w:rFonts w:hint="eastAsia"/>
        </w:rPr>
        <w:t>1的6个窗格分别显示“In</w:t>
      </w:r>
      <w:r>
        <w:t>put1</w:t>
      </w:r>
      <w:r>
        <w:rPr>
          <w:rFonts w:hint="eastAsia"/>
        </w:rPr>
        <w:t>(</w:t>
      </w:r>
      <w:r>
        <w:t>t</w:t>
      </w:r>
      <w:r>
        <w:rPr>
          <w:rFonts w:hint="eastAsia"/>
        </w:rPr>
        <w:t>)、</w:t>
      </w:r>
      <w:r>
        <w:t>Input2</w:t>
      </w:r>
      <w:r>
        <w:rPr>
          <w:rFonts w:hint="eastAsia"/>
        </w:rPr>
        <w:t>(</w:t>
      </w:r>
      <w:r>
        <w:t>t</w:t>
      </w:r>
      <w:r>
        <w:rPr>
          <w:rFonts w:hint="eastAsia"/>
        </w:rPr>
        <w:t>)、</w:t>
      </w:r>
      <w:r>
        <w:t>Input</w:t>
      </w:r>
      <w:r>
        <w:rPr>
          <w:rFonts w:hint="eastAsia"/>
        </w:rPr>
        <w:t>3(</w:t>
      </w:r>
      <w:r>
        <w:t>t</w:t>
      </w:r>
      <w:r>
        <w:rPr>
          <w:rFonts w:hint="eastAsia"/>
        </w:rPr>
        <w:t>)、G1,</w:t>
      </w:r>
      <w:r>
        <w:t>1(f)</w:t>
      </w:r>
      <w:r>
        <w:rPr>
          <w:rFonts w:hint="eastAsia"/>
        </w:rPr>
        <w:t>、Tacho(</w:t>
      </w:r>
      <w:r>
        <w:t>Input2</w:t>
      </w:r>
      <w:r>
        <w:rPr>
          <w:rFonts w:hint="eastAsia"/>
        </w:rPr>
        <w:t>(</w:t>
      </w:r>
      <w:r>
        <w:t>t</w:t>
      </w:r>
      <w:r>
        <w:rPr>
          <w:rFonts w:hint="eastAsia"/>
        </w:rPr>
        <w:t>))、G3,3(</w:t>
      </w:r>
      <w:r>
        <w:t>f</w:t>
      </w:r>
      <w:r>
        <w:rPr>
          <w:rFonts w:hint="eastAsia"/>
        </w:rPr>
        <w:t>)”。</w:t>
      </w:r>
    </w:p>
    <w:p w14:paraId="3249A19E">
      <w:pPr>
        <w:pStyle w:val="15"/>
        <w:ind w:firstLine="480"/>
      </w:pPr>
      <w:r>
        <w:rPr>
          <w:rFonts w:hint="eastAsia"/>
        </w:rPr>
        <w:t>点击工具栏上的</w:t>
      </w:r>
      <w:r>
        <w:drawing>
          <wp:inline distT="0" distB="0" distL="0" distR="0">
            <wp:extent cx="217805" cy="20701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233324" cy="221657"/>
                    </a:xfrm>
                    <a:prstGeom prst="rect">
                      <a:avLst/>
                    </a:prstGeom>
                  </pic:spPr>
                </pic:pic>
              </a:graphicData>
            </a:graphic>
          </wp:inline>
        </w:drawing>
      </w:r>
      <w:r>
        <w:rPr>
          <w:rFonts w:hint="eastAsia"/>
        </w:rPr>
        <w:t>，进行分析参数设置。采样参数中，可以根据需要选择一帧查看信号的长度即设置“采样点数”参数，最长为131072点。加窗类型设置为“Hanning”，“触发参数”的“运行模式”设置为“手动运行”。</w:t>
      </w:r>
    </w:p>
    <w:p w14:paraId="58DF2020">
      <w:pPr>
        <w:pStyle w:val="15"/>
        <w:ind w:firstLine="0" w:firstLineChars="0"/>
        <w:jc w:val="center"/>
      </w:pPr>
      <w:r>
        <w:drawing>
          <wp:inline distT="0" distB="0" distL="0" distR="0">
            <wp:extent cx="3134995" cy="3808730"/>
            <wp:effectExtent l="0" t="0" r="825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3135600" cy="3808800"/>
                    </a:xfrm>
                    <a:prstGeom prst="rect">
                      <a:avLst/>
                    </a:prstGeom>
                  </pic:spPr>
                </pic:pic>
              </a:graphicData>
            </a:graphic>
          </wp:inline>
        </w:drawing>
      </w:r>
    </w:p>
    <w:p w14:paraId="32B0CEDE">
      <w:pPr>
        <w:pStyle w:val="15"/>
        <w:ind w:firstLine="480"/>
      </w:pPr>
      <w:r>
        <w:rPr>
          <w:rFonts w:hint="eastAsia"/>
        </w:rPr>
        <w:t>开始测试，就可以回看电机从启动直到2500 RPM过程中的转速的变化，位移信号、加速度信号的时域和频谱幅值的变化过程。</w:t>
      </w:r>
    </w:p>
    <w:p w14:paraId="16BB851D">
      <w:pPr>
        <w:pStyle w:val="15"/>
        <w:ind w:firstLine="480"/>
      </w:pPr>
      <w:bookmarkStart w:id="5" w:name="_GoBack"/>
      <w:r>
        <w:rPr>
          <w:rFonts w:hint="eastAsia"/>
        </w:rPr>
        <w:t>使用频域峰值保持平均，“自由运行”模式，查看自功率谱函数的峰值保持曲线，可以看到过程中幅值随频率的变化情况，幅值最大值出现的频率位置，从频率也能计算当时的转速信息与光电式转速传感器测量到的转速值做比较。</w:t>
      </w:r>
      <w:bookmarkEnd w:id="5"/>
    </w:p>
    <w:p w14:paraId="2258F73D">
      <w:pPr>
        <w:pStyle w:val="15"/>
        <w:numPr>
          <w:ilvl w:val="0"/>
          <w:numId w:val="16"/>
        </w:numPr>
        <w:ind w:left="465" w:firstLine="15" w:firstLineChars="0"/>
      </w:pPr>
      <w:r>
        <w:rPr>
          <w:rFonts w:hint="eastAsia"/>
        </w:rPr>
        <w:t>悬臂梁共振试验</w:t>
      </w:r>
    </w:p>
    <w:p w14:paraId="1F140BFA">
      <w:pPr>
        <w:pStyle w:val="15"/>
        <w:ind w:firstLine="480"/>
      </w:pPr>
      <w:r>
        <w:t>从离线分析</w:t>
      </w:r>
      <w:r>
        <w:rPr>
          <w:rFonts w:hint="eastAsia"/>
        </w:rPr>
        <w:t>，</w:t>
      </w:r>
      <w:r>
        <w:t>查看电涡流位移传感器时域</w:t>
      </w:r>
      <w:r>
        <w:rPr>
          <w:rFonts w:hint="eastAsia"/>
        </w:rPr>
        <w:t>、</w:t>
      </w:r>
      <w:r>
        <w:t>自功率谱幅值最大时刻对应的转速</w:t>
      </w:r>
      <w:r>
        <w:rPr>
          <w:rFonts w:hint="eastAsia"/>
        </w:rPr>
        <w:t>。调整电机转速到相应的位置，查看悬臂梁的共振现象。测试记录悬臂梁共振时的电机转速、位移幅值、加速度幅值。</w:t>
      </w:r>
    </w:p>
    <w:p w14:paraId="0169550B">
      <w:pPr>
        <w:pStyle w:val="15"/>
        <w:ind w:firstLine="480"/>
      </w:pPr>
      <w:r>
        <w:rPr>
          <w:rFonts w:hint="eastAsia"/>
        </w:rPr>
        <w:t>将测试数据与实验一测试结果进行对比，了解附加质量对悬臂梁固有频率的影响。</w:t>
      </w:r>
    </w:p>
    <w:p w14:paraId="4CF92C59">
      <w:pPr>
        <w:pStyle w:val="15"/>
        <w:numPr>
          <w:ilvl w:val="0"/>
          <w:numId w:val="15"/>
        </w:numPr>
        <w:ind w:left="426" w:firstLineChars="0"/>
        <w:outlineLvl w:val="2"/>
      </w:pPr>
      <w:r>
        <w:rPr>
          <w:rFonts w:hint="eastAsia"/>
        </w:rPr>
        <w:t>工况2，采用黄铜悬臂梁、电涡流位移传感器、光电式转速传感器。</w:t>
      </w:r>
    </w:p>
    <w:p w14:paraId="58CEBE7A">
      <w:pPr>
        <w:pStyle w:val="15"/>
        <w:ind w:firstLine="480"/>
      </w:pPr>
      <w:r>
        <w:rPr>
          <w:rFonts w:hint="eastAsia"/>
        </w:rPr>
        <w:t>工况2的操作步骤：把实验一中的不锈钢悬臂梁更换为外形相同的黄铜悬臂梁。</w:t>
      </w:r>
    </w:p>
    <w:p w14:paraId="548D2175">
      <w:pPr>
        <w:pStyle w:val="15"/>
        <w:numPr>
          <w:ilvl w:val="0"/>
          <w:numId w:val="17"/>
        </w:numPr>
        <w:ind w:left="465" w:firstLine="15" w:firstLineChars="0"/>
      </w:pPr>
      <w:r>
        <w:rPr>
          <w:rFonts w:hint="eastAsia"/>
        </w:rPr>
        <w:t>安装悬臂梁</w:t>
      </w:r>
    </w:p>
    <w:p w14:paraId="1951EBCD">
      <w:pPr>
        <w:pStyle w:val="15"/>
        <w:ind w:firstLine="480"/>
      </w:pPr>
      <w:r>
        <w:rPr>
          <w:rFonts w:hint="eastAsia"/>
        </w:rPr>
        <w:t>黄铜悬臂梁通过螺母安装到右侧的轴承座上。悬臂梁安装时，下方放平垫，上方放弹垫和平垫，悬臂梁与转子的转轴平行，然后将固定螺丝拧紧。</w:t>
      </w:r>
    </w:p>
    <w:p w14:paraId="6BAA9639">
      <w:pPr>
        <w:pStyle w:val="15"/>
        <w:numPr>
          <w:ilvl w:val="0"/>
          <w:numId w:val="17"/>
        </w:numPr>
        <w:ind w:left="465" w:firstLine="15" w:firstLineChars="0"/>
      </w:pPr>
      <w:r>
        <w:rPr>
          <w:rFonts w:hint="eastAsia"/>
        </w:rPr>
        <w:t>安装传感器并接入数据采集仪</w:t>
      </w:r>
    </w:p>
    <w:p w14:paraId="5DAAF978">
      <w:pPr>
        <w:pStyle w:val="15"/>
        <w:ind w:firstLine="480"/>
      </w:pPr>
      <w:r>
        <w:rPr>
          <w:rFonts w:hint="eastAsia"/>
        </w:rPr>
        <w:t>确保MI-2100传感器适配器处于关机状态，供电电压位于±24V挡，输出位于DC挡。把电涡流位移传感器安装到夹具最右侧，接近悬臂梁端部位置的下方约3mm处，将传感器的输出连接到MI-2100传感器适配器的输入通道1。将光电式转速传感器安装到距离转子约1cm处，转子上光电传感器正前方贴上黑胶布。光电式转速传感器的输出接到MI-2100传感器适配器的输入通道2。MI-2100传感器适配器的输出1、2分别连接4通道数据采集仪的电压输入通道1和2（B</w:t>
      </w:r>
      <w:r>
        <w:t>NC</w:t>
      </w:r>
      <w:r>
        <w:rPr>
          <w:rFonts w:hint="eastAsia"/>
        </w:rPr>
        <w:t>接口）。</w:t>
      </w:r>
    </w:p>
    <w:p w14:paraId="6B515967">
      <w:pPr>
        <w:pStyle w:val="15"/>
        <w:ind w:firstLine="0" w:firstLineChars="0"/>
        <w:jc w:val="center"/>
      </w:pPr>
      <w:r>
        <w:drawing>
          <wp:inline distT="0" distB="0" distL="0" distR="0">
            <wp:extent cx="3196590" cy="1065530"/>
            <wp:effectExtent l="0" t="0" r="3810" b="127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a:picLocks noChangeAspect="1"/>
                    </pic:cNvPicPr>
                  </pic:nvPicPr>
                  <pic:blipFill>
                    <a:blip r:embed="rId19"/>
                    <a:stretch>
                      <a:fillRect/>
                    </a:stretch>
                  </pic:blipFill>
                  <pic:spPr>
                    <a:xfrm>
                      <a:off x="0" y="0"/>
                      <a:ext cx="3196800" cy="1065600"/>
                    </a:xfrm>
                    <a:prstGeom prst="rect">
                      <a:avLst/>
                    </a:prstGeom>
                  </pic:spPr>
                </pic:pic>
              </a:graphicData>
            </a:graphic>
          </wp:inline>
        </w:drawing>
      </w:r>
    </w:p>
    <w:tbl>
      <w:tblPr>
        <w:tblStyle w:val="11"/>
        <w:tblW w:w="0" w:type="auto"/>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3"/>
        <w:gridCol w:w="2716"/>
        <w:gridCol w:w="4706"/>
      </w:tblGrid>
      <w:tr w14:paraId="2D1E3F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right"/>
        </w:trPr>
        <w:tc>
          <w:tcPr>
            <w:tcW w:w="763" w:type="dxa"/>
          </w:tcPr>
          <w:p w14:paraId="2406A832">
            <w:pPr>
              <w:spacing w:line="120" w:lineRule="auto"/>
              <w:ind w:firstLine="0" w:firstLineChars="0"/>
              <w:jc w:val="center"/>
              <w:rPr>
                <w:sz w:val="21"/>
                <w:szCs w:val="21"/>
              </w:rPr>
            </w:pPr>
            <w:r>
              <w:rPr>
                <w:rFonts w:hint="eastAsia"/>
                <w:sz w:val="21"/>
                <w:szCs w:val="21"/>
              </w:rPr>
              <w:t>序号</w:t>
            </w:r>
          </w:p>
        </w:tc>
        <w:tc>
          <w:tcPr>
            <w:tcW w:w="2716" w:type="dxa"/>
          </w:tcPr>
          <w:p w14:paraId="3A761AEA">
            <w:pPr>
              <w:spacing w:line="120" w:lineRule="auto"/>
              <w:ind w:firstLine="0" w:firstLineChars="0"/>
              <w:jc w:val="center"/>
              <w:rPr>
                <w:sz w:val="21"/>
                <w:szCs w:val="21"/>
              </w:rPr>
            </w:pPr>
            <w:r>
              <w:rPr>
                <w:rFonts w:hint="eastAsia"/>
                <w:sz w:val="21"/>
                <w:szCs w:val="21"/>
              </w:rPr>
              <w:t>名称</w:t>
            </w:r>
          </w:p>
        </w:tc>
        <w:tc>
          <w:tcPr>
            <w:tcW w:w="4706" w:type="dxa"/>
          </w:tcPr>
          <w:p w14:paraId="2D2A8D26">
            <w:pPr>
              <w:spacing w:line="120" w:lineRule="auto"/>
              <w:ind w:firstLine="420"/>
              <w:jc w:val="center"/>
              <w:rPr>
                <w:sz w:val="21"/>
                <w:szCs w:val="21"/>
              </w:rPr>
            </w:pPr>
            <w:r>
              <w:rPr>
                <w:rFonts w:hint="eastAsia"/>
                <w:sz w:val="21"/>
                <w:szCs w:val="21"/>
              </w:rPr>
              <w:t>用途</w:t>
            </w:r>
          </w:p>
        </w:tc>
      </w:tr>
      <w:tr w14:paraId="1DA14D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63" w:type="dxa"/>
          </w:tcPr>
          <w:p w14:paraId="7C6E9CC4">
            <w:pPr>
              <w:spacing w:line="120" w:lineRule="auto"/>
              <w:ind w:firstLine="0" w:firstLineChars="0"/>
              <w:jc w:val="center"/>
              <w:rPr>
                <w:sz w:val="21"/>
                <w:szCs w:val="21"/>
              </w:rPr>
            </w:pPr>
            <w:r>
              <w:rPr>
                <w:rFonts w:hint="eastAsia"/>
                <w:sz w:val="21"/>
                <w:szCs w:val="21"/>
              </w:rPr>
              <w:t>1</w:t>
            </w:r>
          </w:p>
        </w:tc>
        <w:tc>
          <w:tcPr>
            <w:tcW w:w="2716" w:type="dxa"/>
          </w:tcPr>
          <w:p w14:paraId="2DD25296">
            <w:pPr>
              <w:spacing w:line="120" w:lineRule="auto"/>
              <w:ind w:firstLine="0" w:firstLineChars="0"/>
              <w:jc w:val="left"/>
              <w:rPr>
                <w:sz w:val="21"/>
                <w:szCs w:val="21"/>
              </w:rPr>
            </w:pPr>
            <w:r>
              <w:rPr>
                <w:rFonts w:hint="eastAsia"/>
                <w:sz w:val="21"/>
                <w:szCs w:val="21"/>
              </w:rPr>
              <w:t>电压输出通道（B</w:t>
            </w:r>
            <w:r>
              <w:rPr>
                <w:sz w:val="21"/>
                <w:szCs w:val="21"/>
              </w:rPr>
              <w:t>NC</w:t>
            </w:r>
            <w:r>
              <w:rPr>
                <w:rFonts w:hint="eastAsia"/>
                <w:sz w:val="21"/>
                <w:szCs w:val="21"/>
              </w:rPr>
              <w:t>接口）</w:t>
            </w:r>
          </w:p>
        </w:tc>
        <w:tc>
          <w:tcPr>
            <w:tcW w:w="4706" w:type="dxa"/>
          </w:tcPr>
          <w:p w14:paraId="05A38506">
            <w:pPr>
              <w:spacing w:line="120" w:lineRule="auto"/>
              <w:ind w:firstLine="0" w:firstLineChars="0"/>
              <w:jc w:val="left"/>
              <w:rPr>
                <w:sz w:val="21"/>
                <w:szCs w:val="21"/>
              </w:rPr>
            </w:pPr>
            <w:r>
              <w:rPr>
                <w:rFonts w:hint="eastAsia"/>
                <w:sz w:val="21"/>
                <w:szCs w:val="21"/>
              </w:rPr>
              <w:t>作为信号源，输出各种类型的信号</w:t>
            </w:r>
          </w:p>
        </w:tc>
      </w:tr>
      <w:tr w14:paraId="2DF55A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63" w:type="dxa"/>
          </w:tcPr>
          <w:p w14:paraId="057B4630">
            <w:pPr>
              <w:spacing w:line="120" w:lineRule="auto"/>
              <w:ind w:firstLine="0" w:firstLineChars="0"/>
              <w:jc w:val="center"/>
              <w:rPr>
                <w:sz w:val="21"/>
                <w:szCs w:val="21"/>
              </w:rPr>
            </w:pPr>
            <w:r>
              <w:rPr>
                <w:rFonts w:hint="eastAsia"/>
                <w:sz w:val="21"/>
                <w:szCs w:val="21"/>
              </w:rPr>
              <w:t>2</w:t>
            </w:r>
          </w:p>
        </w:tc>
        <w:tc>
          <w:tcPr>
            <w:tcW w:w="2716" w:type="dxa"/>
          </w:tcPr>
          <w:p w14:paraId="0FD7373D">
            <w:pPr>
              <w:spacing w:line="120" w:lineRule="auto"/>
              <w:ind w:firstLine="0" w:firstLineChars="0"/>
              <w:jc w:val="left"/>
              <w:rPr>
                <w:sz w:val="21"/>
                <w:szCs w:val="21"/>
              </w:rPr>
            </w:pPr>
            <w:r>
              <w:rPr>
                <w:rFonts w:hint="eastAsia"/>
                <w:sz w:val="21"/>
                <w:szCs w:val="21"/>
              </w:rPr>
              <w:t>电压输入通道（B</w:t>
            </w:r>
            <w:r>
              <w:rPr>
                <w:sz w:val="21"/>
                <w:szCs w:val="21"/>
              </w:rPr>
              <w:t>NC</w:t>
            </w:r>
            <w:r>
              <w:rPr>
                <w:rFonts w:hint="eastAsia"/>
                <w:sz w:val="21"/>
                <w:szCs w:val="21"/>
              </w:rPr>
              <w:t>接口）</w:t>
            </w:r>
          </w:p>
        </w:tc>
        <w:tc>
          <w:tcPr>
            <w:tcW w:w="4706" w:type="dxa"/>
          </w:tcPr>
          <w:p w14:paraId="223A6889">
            <w:pPr>
              <w:spacing w:line="120" w:lineRule="auto"/>
              <w:ind w:firstLine="0" w:firstLineChars="0"/>
              <w:jc w:val="left"/>
              <w:rPr>
                <w:sz w:val="21"/>
                <w:szCs w:val="21"/>
              </w:rPr>
            </w:pPr>
            <w:r>
              <w:rPr>
                <w:rFonts w:hint="eastAsia"/>
                <w:sz w:val="21"/>
                <w:szCs w:val="21"/>
              </w:rPr>
              <w:t>用来连接传感器信号输入，只允许输入电压信号</w:t>
            </w:r>
          </w:p>
        </w:tc>
      </w:tr>
      <w:tr w14:paraId="1979B4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63" w:type="dxa"/>
          </w:tcPr>
          <w:p w14:paraId="79DD7A61">
            <w:pPr>
              <w:spacing w:line="120" w:lineRule="auto"/>
              <w:ind w:firstLine="0" w:firstLineChars="0"/>
              <w:jc w:val="center"/>
              <w:rPr>
                <w:sz w:val="21"/>
                <w:szCs w:val="21"/>
              </w:rPr>
            </w:pPr>
            <w:r>
              <w:rPr>
                <w:rFonts w:hint="eastAsia"/>
                <w:sz w:val="21"/>
                <w:szCs w:val="21"/>
              </w:rPr>
              <w:t>3</w:t>
            </w:r>
          </w:p>
        </w:tc>
        <w:tc>
          <w:tcPr>
            <w:tcW w:w="2716" w:type="dxa"/>
          </w:tcPr>
          <w:p w14:paraId="1411C522">
            <w:pPr>
              <w:spacing w:line="120" w:lineRule="auto"/>
              <w:ind w:firstLine="0" w:firstLineChars="0"/>
              <w:jc w:val="left"/>
              <w:rPr>
                <w:sz w:val="21"/>
                <w:szCs w:val="21"/>
              </w:rPr>
            </w:pPr>
            <w:r>
              <w:rPr>
                <w:rFonts w:hint="eastAsia"/>
                <w:sz w:val="21"/>
                <w:szCs w:val="21"/>
              </w:rPr>
              <w:t>U</w:t>
            </w:r>
            <w:r>
              <w:rPr>
                <w:sz w:val="21"/>
                <w:szCs w:val="21"/>
              </w:rPr>
              <w:t>SB</w:t>
            </w:r>
            <w:r>
              <w:rPr>
                <w:rFonts w:hint="eastAsia"/>
                <w:sz w:val="21"/>
                <w:szCs w:val="21"/>
              </w:rPr>
              <w:t>接口</w:t>
            </w:r>
          </w:p>
        </w:tc>
        <w:tc>
          <w:tcPr>
            <w:tcW w:w="4706" w:type="dxa"/>
          </w:tcPr>
          <w:p w14:paraId="7AE77458">
            <w:pPr>
              <w:spacing w:line="120" w:lineRule="auto"/>
              <w:ind w:firstLine="0" w:firstLineChars="0"/>
              <w:jc w:val="left"/>
              <w:rPr>
                <w:sz w:val="21"/>
                <w:szCs w:val="21"/>
              </w:rPr>
            </w:pPr>
            <w:r>
              <w:rPr>
                <w:rFonts w:hint="eastAsia"/>
                <w:sz w:val="21"/>
                <w:szCs w:val="21"/>
              </w:rPr>
              <w:t>U</w:t>
            </w:r>
            <w:r>
              <w:rPr>
                <w:sz w:val="21"/>
                <w:szCs w:val="21"/>
              </w:rPr>
              <w:t>SB B</w:t>
            </w:r>
            <w:r>
              <w:rPr>
                <w:rFonts w:hint="eastAsia"/>
                <w:sz w:val="21"/>
                <w:szCs w:val="21"/>
              </w:rPr>
              <w:t>型母接口，通过U</w:t>
            </w:r>
            <w:r>
              <w:rPr>
                <w:sz w:val="21"/>
                <w:szCs w:val="21"/>
              </w:rPr>
              <w:t>SB</w:t>
            </w:r>
            <w:r>
              <w:rPr>
                <w:rFonts w:hint="eastAsia"/>
                <w:sz w:val="21"/>
                <w:szCs w:val="21"/>
              </w:rPr>
              <w:t>通讯线连接到计算机</w:t>
            </w:r>
          </w:p>
        </w:tc>
      </w:tr>
      <w:tr w14:paraId="472B11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63" w:type="dxa"/>
          </w:tcPr>
          <w:p w14:paraId="7791359D">
            <w:pPr>
              <w:spacing w:line="120" w:lineRule="auto"/>
              <w:ind w:firstLine="0" w:firstLineChars="0"/>
              <w:jc w:val="center"/>
              <w:rPr>
                <w:sz w:val="21"/>
                <w:szCs w:val="21"/>
              </w:rPr>
            </w:pPr>
            <w:r>
              <w:rPr>
                <w:rFonts w:hint="eastAsia"/>
                <w:sz w:val="21"/>
                <w:szCs w:val="21"/>
              </w:rPr>
              <w:t>4</w:t>
            </w:r>
          </w:p>
        </w:tc>
        <w:tc>
          <w:tcPr>
            <w:tcW w:w="2716" w:type="dxa"/>
          </w:tcPr>
          <w:p w14:paraId="3FC0CF31">
            <w:pPr>
              <w:spacing w:line="120" w:lineRule="auto"/>
              <w:ind w:firstLine="0" w:firstLineChars="0"/>
              <w:jc w:val="left"/>
              <w:rPr>
                <w:sz w:val="21"/>
                <w:szCs w:val="21"/>
              </w:rPr>
            </w:pPr>
            <w:r>
              <w:rPr>
                <w:rFonts w:hint="eastAsia"/>
                <w:sz w:val="21"/>
                <w:szCs w:val="21"/>
              </w:rPr>
              <w:t>S</w:t>
            </w:r>
            <w:r>
              <w:rPr>
                <w:sz w:val="21"/>
                <w:szCs w:val="21"/>
              </w:rPr>
              <w:t>YS</w:t>
            </w:r>
            <w:r>
              <w:rPr>
                <w:rFonts w:hint="eastAsia"/>
                <w:sz w:val="21"/>
                <w:szCs w:val="21"/>
              </w:rPr>
              <w:t>指示灯</w:t>
            </w:r>
          </w:p>
        </w:tc>
        <w:tc>
          <w:tcPr>
            <w:tcW w:w="4706" w:type="dxa"/>
          </w:tcPr>
          <w:p w14:paraId="53AB7D3F">
            <w:pPr>
              <w:spacing w:line="120" w:lineRule="auto"/>
              <w:ind w:firstLine="0" w:firstLineChars="0"/>
              <w:jc w:val="left"/>
              <w:rPr>
                <w:sz w:val="21"/>
                <w:szCs w:val="21"/>
              </w:rPr>
            </w:pPr>
            <w:r>
              <w:rPr>
                <w:rFonts w:hint="eastAsia"/>
                <w:sz w:val="21"/>
                <w:szCs w:val="21"/>
              </w:rPr>
              <w:t>系统状态，进入试验界面后，一直闪烁</w:t>
            </w:r>
          </w:p>
        </w:tc>
      </w:tr>
      <w:tr w14:paraId="1A2998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63" w:type="dxa"/>
          </w:tcPr>
          <w:p w14:paraId="7F4C09B4">
            <w:pPr>
              <w:spacing w:line="120" w:lineRule="auto"/>
              <w:ind w:firstLine="0" w:firstLineChars="0"/>
              <w:jc w:val="center"/>
              <w:rPr>
                <w:sz w:val="21"/>
                <w:szCs w:val="21"/>
              </w:rPr>
            </w:pPr>
            <w:r>
              <w:rPr>
                <w:rFonts w:hint="eastAsia"/>
                <w:sz w:val="21"/>
                <w:szCs w:val="21"/>
              </w:rPr>
              <w:t>5</w:t>
            </w:r>
          </w:p>
        </w:tc>
        <w:tc>
          <w:tcPr>
            <w:tcW w:w="2716" w:type="dxa"/>
          </w:tcPr>
          <w:p w14:paraId="27444CEC">
            <w:pPr>
              <w:spacing w:line="120" w:lineRule="auto"/>
              <w:ind w:firstLine="0" w:firstLineChars="0"/>
              <w:jc w:val="left"/>
              <w:rPr>
                <w:sz w:val="21"/>
                <w:szCs w:val="21"/>
              </w:rPr>
            </w:pPr>
            <w:r>
              <w:rPr>
                <w:rFonts w:hint="eastAsia"/>
                <w:sz w:val="21"/>
                <w:szCs w:val="21"/>
              </w:rPr>
              <w:t>Power指示灯</w:t>
            </w:r>
          </w:p>
        </w:tc>
        <w:tc>
          <w:tcPr>
            <w:tcW w:w="4706" w:type="dxa"/>
          </w:tcPr>
          <w:p w14:paraId="1A85C570">
            <w:pPr>
              <w:spacing w:line="120" w:lineRule="auto"/>
              <w:ind w:firstLine="0" w:firstLineChars="0"/>
              <w:jc w:val="left"/>
              <w:rPr>
                <w:sz w:val="21"/>
                <w:szCs w:val="21"/>
              </w:rPr>
            </w:pPr>
            <w:r>
              <w:rPr>
                <w:rFonts w:hint="eastAsia"/>
                <w:sz w:val="21"/>
                <w:szCs w:val="21"/>
              </w:rPr>
              <w:t>电源状态，电源接通后，显示为绿色</w:t>
            </w:r>
          </w:p>
        </w:tc>
      </w:tr>
    </w:tbl>
    <w:p w14:paraId="7A697B7F">
      <w:pPr>
        <w:pStyle w:val="15"/>
        <w:numPr>
          <w:ilvl w:val="0"/>
          <w:numId w:val="17"/>
        </w:numPr>
        <w:ind w:left="465" w:firstLine="15" w:firstLineChars="0"/>
      </w:pPr>
      <w:r>
        <w:rPr>
          <w:rFonts w:hint="eastAsia"/>
        </w:rPr>
        <w:t>硬件参数和采样参数设置</w:t>
      </w:r>
    </w:p>
    <w:p w14:paraId="35D4272B">
      <w:pPr>
        <w:pStyle w:val="15"/>
        <w:ind w:firstLine="480"/>
      </w:pPr>
      <w:r>
        <w:rPr>
          <w:rFonts w:hint="eastAsia"/>
        </w:rPr>
        <w:t>在工具栏上点击</w:t>
      </w:r>
      <w:r>
        <w:drawing>
          <wp:inline distT="0" distB="0" distL="0" distR="0">
            <wp:extent cx="180975" cy="189865"/>
            <wp:effectExtent l="0" t="0" r="0" b="635"/>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a:picLocks noChangeAspect="1"/>
                    </pic:cNvPicPr>
                  </pic:nvPicPr>
                  <pic:blipFill>
                    <a:blip r:embed="rId20"/>
                    <a:stretch>
                      <a:fillRect/>
                    </a:stretch>
                  </pic:blipFill>
                  <pic:spPr>
                    <a:xfrm>
                      <a:off x="0" y="0"/>
                      <a:ext cx="191521" cy="201095"/>
                    </a:xfrm>
                    <a:prstGeom prst="rect">
                      <a:avLst/>
                    </a:prstGeom>
                  </pic:spPr>
                </pic:pic>
              </a:graphicData>
            </a:graphic>
          </wp:inline>
        </w:drawing>
      </w:r>
      <w:r>
        <w:rPr>
          <w:rFonts w:hint="eastAsia"/>
        </w:rPr>
        <w:t>，进行输入通道参数设置。</w:t>
      </w:r>
    </w:p>
    <w:p w14:paraId="2463F8FD">
      <w:pPr>
        <w:pStyle w:val="15"/>
        <w:ind w:firstLine="480"/>
      </w:pPr>
      <w:r>
        <w:rPr>
          <w:rFonts w:hint="eastAsia"/>
        </w:rPr>
        <w:t>除输入通道1，2外，将其他输入通道的类型修改为“不用”。将输入通道3的类型修改为“不用”，然后点击“向下填充”按钮。</w:t>
      </w:r>
    </w:p>
    <w:p w14:paraId="4D2C2B81">
      <w:pPr>
        <w:pStyle w:val="15"/>
        <w:ind w:firstLine="0" w:firstLineChars="0"/>
        <w:jc w:val="center"/>
      </w:pPr>
      <w:r>
        <w:drawing>
          <wp:inline distT="0" distB="0" distL="0" distR="0">
            <wp:extent cx="4575175" cy="2552065"/>
            <wp:effectExtent l="0" t="0" r="0" b="63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575600" cy="2552400"/>
                    </a:xfrm>
                    <a:prstGeom prst="rect">
                      <a:avLst/>
                    </a:prstGeom>
                    <a:noFill/>
                    <a:ln>
                      <a:noFill/>
                    </a:ln>
                  </pic:spPr>
                </pic:pic>
              </a:graphicData>
            </a:graphic>
          </wp:inline>
        </w:drawing>
      </w:r>
    </w:p>
    <w:p w14:paraId="4C5D5984">
      <w:pPr>
        <w:pStyle w:val="15"/>
        <w:ind w:firstLine="480"/>
      </w:pPr>
      <w:r>
        <w:rPr>
          <w:rFonts w:hint="eastAsia"/>
        </w:rPr>
        <w:t>将输入通道1，2的通道参数设置为：</w:t>
      </w:r>
    </w:p>
    <w:p w14:paraId="2EEC6F21">
      <w:pPr>
        <w:pStyle w:val="15"/>
        <w:ind w:firstLine="0" w:firstLineChars="0"/>
        <w:jc w:val="center"/>
      </w:pPr>
      <w:r>
        <w:drawing>
          <wp:inline distT="0" distB="0" distL="0" distR="0">
            <wp:extent cx="5276850" cy="62865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6850" cy="628650"/>
                    </a:xfrm>
                    <a:prstGeom prst="rect">
                      <a:avLst/>
                    </a:prstGeom>
                    <a:noFill/>
                    <a:ln>
                      <a:noFill/>
                    </a:ln>
                  </pic:spPr>
                </pic:pic>
              </a:graphicData>
            </a:graphic>
          </wp:inline>
        </w:drawing>
      </w:r>
    </w:p>
    <w:p w14:paraId="6EE14069">
      <w:pPr>
        <w:pStyle w:val="15"/>
        <w:rPr>
          <w:sz w:val="21"/>
        </w:rPr>
      </w:pPr>
      <w:r>
        <w:rPr>
          <w:rFonts w:hint="eastAsia"/>
          <w:sz w:val="21"/>
        </w:rPr>
        <w:t>注意：位移传感器的灵敏度请根据传感器的说明书按实际填写。另外，这里的耦合方式设置为AC差分，高通滤波0.7Hz是滤除了直流成分，测试的是动态位移。</w:t>
      </w:r>
    </w:p>
    <w:p w14:paraId="1ADB0FF6">
      <w:pPr>
        <w:pStyle w:val="15"/>
        <w:ind w:firstLine="480"/>
      </w:pPr>
      <w:r>
        <w:rPr>
          <w:rFonts w:hint="eastAsia"/>
        </w:rPr>
        <w:t>在工具栏上点击</w:t>
      </w:r>
      <w:r>
        <w:drawing>
          <wp:inline distT="0" distB="0" distL="0" distR="0">
            <wp:extent cx="217805" cy="207010"/>
            <wp:effectExtent l="0" t="0" r="0" b="254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a:picLocks noChangeAspect="1"/>
                    </pic:cNvPicPr>
                  </pic:nvPicPr>
                  <pic:blipFill>
                    <a:blip r:embed="rId23"/>
                    <a:stretch>
                      <a:fillRect/>
                    </a:stretch>
                  </pic:blipFill>
                  <pic:spPr>
                    <a:xfrm>
                      <a:off x="0" y="0"/>
                      <a:ext cx="233324" cy="221657"/>
                    </a:xfrm>
                    <a:prstGeom prst="rect">
                      <a:avLst/>
                    </a:prstGeom>
                  </pic:spPr>
                </pic:pic>
              </a:graphicData>
            </a:graphic>
          </wp:inline>
        </w:drawing>
      </w:r>
      <w:r>
        <w:rPr>
          <w:rFonts w:hint="eastAsia"/>
        </w:rPr>
        <w:t>，进行分析参数设置。</w:t>
      </w:r>
    </w:p>
    <w:p w14:paraId="539278D2">
      <w:pPr>
        <w:pStyle w:val="15"/>
        <w:ind w:firstLine="480"/>
      </w:pPr>
      <w:r>
        <w:rPr>
          <w:rFonts w:hint="eastAsia"/>
        </w:rPr>
        <w:t>设置采样点数：1024；采样频率：800</w:t>
      </w:r>
      <w:r>
        <w:t>Hz</w:t>
      </w:r>
      <w:r>
        <w:rPr>
          <w:rFonts w:hint="eastAsia"/>
        </w:rPr>
        <w:t>；加窗类型：Ha</w:t>
      </w:r>
      <w:r>
        <w:t>nning</w:t>
      </w:r>
      <w:r>
        <w:rPr>
          <w:rFonts w:hint="eastAsia"/>
        </w:rPr>
        <w:t>；不平均、无触发、自由运行、不延时。实际测试中，通常采样频率设置成接入信号频率的3-</w:t>
      </w:r>
      <w:r>
        <w:t>5</w:t>
      </w:r>
      <w:r>
        <w:rPr>
          <w:rFonts w:hint="eastAsia"/>
        </w:rPr>
        <w:t>倍，但是如果需要在时域看到准确的信号幅值则采样频率往往需要设置为信号频率的10倍或更高。在测试过程中，用户根据实际信号可适当调整采样频率。</w:t>
      </w:r>
    </w:p>
    <w:p w14:paraId="378538C9">
      <w:pPr>
        <w:pStyle w:val="15"/>
        <w:ind w:firstLine="0" w:firstLineChars="0"/>
        <w:jc w:val="center"/>
      </w:pPr>
      <w:r>
        <w:drawing>
          <wp:inline distT="0" distB="0" distL="0" distR="0">
            <wp:extent cx="3134995" cy="3808730"/>
            <wp:effectExtent l="0" t="0" r="8255" b="127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a:picLocks noChangeAspect="1"/>
                    </pic:cNvPicPr>
                  </pic:nvPicPr>
                  <pic:blipFill>
                    <a:blip r:embed="rId24"/>
                    <a:stretch>
                      <a:fillRect/>
                    </a:stretch>
                  </pic:blipFill>
                  <pic:spPr>
                    <a:xfrm>
                      <a:off x="0" y="0"/>
                      <a:ext cx="3135600" cy="3808800"/>
                    </a:xfrm>
                    <a:prstGeom prst="rect">
                      <a:avLst/>
                    </a:prstGeom>
                  </pic:spPr>
                </pic:pic>
              </a:graphicData>
            </a:graphic>
          </wp:inline>
        </w:drawing>
      </w:r>
    </w:p>
    <w:p w14:paraId="1105A5A9">
      <w:pPr>
        <w:pStyle w:val="15"/>
        <w:ind w:firstLine="480"/>
      </w:pPr>
      <w:r>
        <w:t>软件中</w:t>
      </w:r>
      <w:r>
        <w:rPr>
          <w:rFonts w:hint="eastAsia"/>
        </w:rPr>
        <w:t>，采样点数和分析谱线是2.56倍的关系，采样频率和分析频宽是2.56倍的关系。设置时只需要确定一组中的一个，另一个就确定了。</w:t>
      </w:r>
    </w:p>
    <w:p w14:paraId="33246910">
      <w:pPr>
        <w:pStyle w:val="15"/>
        <w:numPr>
          <w:ilvl w:val="0"/>
          <w:numId w:val="17"/>
        </w:numPr>
        <w:ind w:left="465" w:firstLine="15" w:firstLineChars="0"/>
      </w:pPr>
      <w:r>
        <w:rPr>
          <w:rFonts w:hint="eastAsia"/>
        </w:rPr>
        <w:t>显示设置</w:t>
      </w:r>
    </w:p>
    <w:p w14:paraId="501DB1BB">
      <w:pPr>
        <w:pStyle w:val="15"/>
        <w:ind w:firstLine="480"/>
      </w:pPr>
      <w:r>
        <w:rPr>
          <w:rFonts w:hint="eastAsia"/>
        </w:rPr>
        <w:t>实验数据显示：默认的“时频显示1”为双窗格。在上窗格中鼠标右键单击，在弹出的右键菜单中选择“窗口</w:t>
      </w:r>
      <w:r>
        <w:t>图</w:t>
      </w:r>
      <w:r>
        <w:rPr>
          <w:rFonts w:hint="eastAsia"/>
        </w:rPr>
        <w:t>形</w:t>
      </w:r>
      <w:r>
        <w:t>-增加列</w:t>
      </w:r>
      <w:r>
        <w:rPr>
          <w:rFonts w:hint="eastAsia"/>
        </w:rPr>
        <w:t>”，就变成了2*2的四窗格。在第一行的</w:t>
      </w:r>
      <w:r>
        <w:t>窗格中鼠标</w:t>
      </w:r>
      <w:r>
        <w:rPr>
          <w:rFonts w:hint="eastAsia"/>
        </w:rPr>
        <w:t>右键</w:t>
      </w:r>
      <w:r>
        <w:t>单击，在弹出的右键菜单中</w:t>
      </w:r>
      <w:r>
        <w:rPr>
          <w:rFonts w:hint="eastAsia"/>
        </w:rPr>
        <w:t>选择“显示</w:t>
      </w:r>
      <w:r>
        <w:t>设置</w:t>
      </w:r>
      <w:r>
        <w:rPr>
          <w:rFonts w:hint="eastAsia"/>
        </w:rPr>
        <w:t>”，在“显示设置”对话框中分别选择“In</w:t>
      </w:r>
      <w:r>
        <w:t>put1(t)</w:t>
      </w:r>
      <w:r>
        <w:rPr>
          <w:rFonts w:hint="eastAsia"/>
        </w:rPr>
        <w:t>”、“</w:t>
      </w:r>
      <w:r>
        <w:t>Input2</w:t>
      </w:r>
      <w:r>
        <w:rPr>
          <w:rFonts w:hint="eastAsia"/>
        </w:rPr>
        <w:t>(</w:t>
      </w:r>
      <w:r>
        <w:t>t</w:t>
      </w:r>
      <w:r>
        <w:rPr>
          <w:rFonts w:hint="eastAsia"/>
        </w:rPr>
        <w:t>)”，显示时域信号。同样操作，在第二行的左侧</w:t>
      </w:r>
      <w:r>
        <w:t>窗格中</w:t>
      </w:r>
      <w:r>
        <w:rPr>
          <w:rFonts w:hint="eastAsia"/>
        </w:rPr>
        <w:t>选择“G1,</w:t>
      </w:r>
      <w:r>
        <w:t>1(f)</w:t>
      </w:r>
      <w:r>
        <w:rPr>
          <w:rFonts w:hint="eastAsia"/>
        </w:rPr>
        <w:t>”，显示位移传感器的自功率谱信号。或者是直接从左侧“函数”栏中，将对应的信号拖到右侧窗格中显示。在自功率谱信号的Y轴坐标上单击</w:t>
      </w:r>
      <w:r>
        <w:t>鼠标右键</w:t>
      </w:r>
      <w:r>
        <w:rPr>
          <w:rFonts w:hint="eastAsia"/>
        </w:rPr>
        <w:t>，在弹出的选项中选“对数”，再次操作</w:t>
      </w:r>
      <w:r>
        <w:t>选择</w:t>
      </w:r>
      <w:r>
        <w:rPr>
          <w:rFonts w:hint="eastAsia"/>
        </w:rPr>
        <w:t>“Peak”，这时自功率谱信号窗格显示的是位移传感器信号的频域幅值谱。</w:t>
      </w:r>
    </w:p>
    <w:p w14:paraId="55B71B11">
      <w:pPr>
        <w:pStyle w:val="15"/>
        <w:ind w:firstLine="480"/>
        <w:jc w:val="center"/>
      </w:pPr>
      <w:r>
        <w:drawing>
          <wp:inline distT="0" distB="0" distL="0" distR="0">
            <wp:extent cx="1205230" cy="2371725"/>
            <wp:effectExtent l="0" t="0" r="0"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206386" cy="2372890"/>
                    </a:xfrm>
                    <a:prstGeom prst="rect">
                      <a:avLst/>
                    </a:prstGeom>
                    <a:noFill/>
                    <a:ln>
                      <a:noFill/>
                    </a:ln>
                  </pic:spPr>
                </pic:pic>
              </a:graphicData>
            </a:graphic>
          </wp:inline>
        </w:drawing>
      </w:r>
    </w:p>
    <w:p w14:paraId="48FE4499">
      <w:pPr>
        <w:pStyle w:val="15"/>
        <w:ind w:firstLine="480"/>
      </w:pPr>
      <w:r>
        <w:t>在时域信号的显示设置对话框中</w:t>
      </w:r>
      <w:r>
        <w:rPr>
          <w:rFonts w:hint="eastAsia"/>
        </w:rPr>
        <w:t>，还</w:t>
      </w:r>
      <w:r>
        <w:t>可勾选显示信号的特征值</w:t>
      </w:r>
      <w:r>
        <w:rPr>
          <w:rFonts w:hint="eastAsia"/>
        </w:rPr>
        <w:t>，</w:t>
      </w:r>
      <w:r>
        <w:t>如最大值</w:t>
      </w:r>
      <w:r>
        <w:rPr>
          <w:rFonts w:hint="eastAsia"/>
        </w:rPr>
        <w:t>、</w:t>
      </w:r>
      <w:r>
        <w:t>最小值</w:t>
      </w:r>
      <w:r>
        <w:rPr>
          <w:rFonts w:hint="eastAsia"/>
        </w:rPr>
        <w:t>、</w:t>
      </w:r>
      <w:r>
        <w:t>平均值</w:t>
      </w:r>
      <w:r>
        <w:rPr>
          <w:rFonts w:hint="eastAsia"/>
        </w:rPr>
        <w:t>、</w:t>
      </w:r>
      <w:r>
        <w:t>有效值等</w:t>
      </w:r>
      <w:r>
        <w:rPr>
          <w:rFonts w:hint="eastAsia"/>
        </w:rPr>
        <w:t>。</w:t>
      </w:r>
    </w:p>
    <w:p w14:paraId="7456B040">
      <w:pPr>
        <w:pStyle w:val="15"/>
        <w:ind w:firstLine="480"/>
        <w:jc w:val="center"/>
      </w:pPr>
      <w:r>
        <w:drawing>
          <wp:inline distT="0" distB="0" distL="0" distR="0">
            <wp:extent cx="3142615" cy="3891280"/>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a:picLocks noChangeAspect="1"/>
                    </pic:cNvPicPr>
                  </pic:nvPicPr>
                  <pic:blipFill>
                    <a:blip r:embed="rId26"/>
                    <a:stretch>
                      <a:fillRect/>
                    </a:stretch>
                  </pic:blipFill>
                  <pic:spPr>
                    <a:xfrm>
                      <a:off x="0" y="0"/>
                      <a:ext cx="3142800" cy="3891600"/>
                    </a:xfrm>
                    <a:prstGeom prst="rect">
                      <a:avLst/>
                    </a:prstGeom>
                  </pic:spPr>
                </pic:pic>
              </a:graphicData>
            </a:graphic>
          </wp:inline>
        </w:drawing>
      </w:r>
    </w:p>
    <w:p w14:paraId="7D0D2B5A">
      <w:pPr>
        <w:pStyle w:val="15"/>
        <w:ind w:firstLine="480"/>
      </w:pPr>
      <w:r>
        <w:t>在第二行</w:t>
      </w:r>
      <w:r>
        <w:rPr>
          <w:rFonts w:hint="eastAsia"/>
        </w:rPr>
        <w:t>右侧</w:t>
      </w:r>
      <w:r>
        <w:t>窗格</w:t>
      </w:r>
      <w:r>
        <w:rPr>
          <w:rFonts w:hint="eastAsia"/>
        </w:rPr>
        <w:t>单</w:t>
      </w:r>
      <w:r>
        <w:t>击鼠标右键</w:t>
      </w:r>
      <w:r>
        <w:rPr>
          <w:rFonts w:hint="eastAsia"/>
        </w:rPr>
        <w:t>，</w:t>
      </w:r>
      <w:r>
        <w:t>在弹出的右键菜单中选择</w:t>
      </w:r>
      <w:r>
        <w:rPr>
          <w:rFonts w:hint="eastAsia"/>
        </w:rPr>
        <w:t>“函数计算”。</w:t>
      </w:r>
    </w:p>
    <w:p w14:paraId="76BA96D5">
      <w:pPr>
        <w:ind w:firstLine="199" w:firstLineChars="83"/>
        <w:jc w:val="center"/>
      </w:pPr>
      <w:r>
        <w:drawing>
          <wp:inline distT="0" distB="0" distL="0" distR="0">
            <wp:extent cx="1047115" cy="2577465"/>
            <wp:effectExtent l="0" t="0" r="635"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047600" cy="2577600"/>
                    </a:xfrm>
                    <a:prstGeom prst="rect">
                      <a:avLst/>
                    </a:prstGeom>
                    <a:noFill/>
                    <a:ln>
                      <a:noFill/>
                    </a:ln>
                  </pic:spPr>
                </pic:pic>
              </a:graphicData>
            </a:graphic>
          </wp:inline>
        </w:drawing>
      </w:r>
    </w:p>
    <w:p w14:paraId="7096DE71">
      <w:pPr>
        <w:pStyle w:val="15"/>
        <w:ind w:firstLine="480"/>
      </w:pPr>
      <w:r>
        <w:rPr>
          <w:rFonts w:hint="eastAsia"/>
        </w:rPr>
        <w:t>在弹出的“用户定义函数”对话框中，选择“分析计算——Tacho(x)”，右侧的“x=”选择“Input2(t)”，光电式转速传感器对应的“每转脉冲数”根据反光贴纸/黑贴纸的数量来设置，触发沿可以是上升沿或下降沿，低电平和高电平根据传感器的信号区间来设定，本次实验的光电式传感器电压范围为0~5V，我们选取中间一段，低电平可以设置为3V，高电平设置为4V，或者根据实际时域信号的区间取中间值，确定。</w:t>
      </w:r>
    </w:p>
    <w:p w14:paraId="178E1971">
      <w:pPr>
        <w:ind w:firstLine="199" w:firstLineChars="83"/>
        <w:jc w:val="center"/>
      </w:pPr>
      <w:r>
        <w:drawing>
          <wp:inline distT="0" distB="0" distL="0" distR="0">
            <wp:extent cx="5278120" cy="3312795"/>
            <wp:effectExtent l="0" t="0" r="0" b="1905"/>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pic:cNvPicPr>
                      <a:picLocks noChangeAspect="1"/>
                    </pic:cNvPicPr>
                  </pic:nvPicPr>
                  <pic:blipFill>
                    <a:blip r:embed="rId28"/>
                    <a:stretch>
                      <a:fillRect/>
                    </a:stretch>
                  </pic:blipFill>
                  <pic:spPr>
                    <a:xfrm>
                      <a:off x="0" y="0"/>
                      <a:ext cx="5278120" cy="3312876"/>
                    </a:xfrm>
                    <a:prstGeom prst="rect">
                      <a:avLst/>
                    </a:prstGeom>
                  </pic:spPr>
                </pic:pic>
              </a:graphicData>
            </a:graphic>
          </wp:inline>
        </w:drawing>
      </w:r>
    </w:p>
    <w:p w14:paraId="2D1C39FD">
      <w:pPr>
        <w:pStyle w:val="15"/>
        <w:ind w:firstLine="480"/>
      </w:pPr>
      <w:r>
        <w:t>这样</w:t>
      </w:r>
      <w:r>
        <w:rPr>
          <w:rFonts w:hint="eastAsia"/>
        </w:rPr>
        <w:t>，</w:t>
      </w:r>
      <w:r>
        <w:t>让时频显示</w:t>
      </w:r>
      <w:r>
        <w:rPr>
          <w:rFonts w:hint="eastAsia"/>
        </w:rPr>
        <w:t>1的4个窗格分别显示“In</w:t>
      </w:r>
      <w:r>
        <w:t>put1</w:t>
      </w:r>
      <w:r>
        <w:rPr>
          <w:rFonts w:hint="eastAsia"/>
        </w:rPr>
        <w:t>(</w:t>
      </w:r>
      <w:r>
        <w:t>t</w:t>
      </w:r>
      <w:r>
        <w:rPr>
          <w:rFonts w:hint="eastAsia"/>
        </w:rPr>
        <w:t>)、</w:t>
      </w:r>
      <w:r>
        <w:t>Input2</w:t>
      </w:r>
      <w:r>
        <w:rPr>
          <w:rFonts w:hint="eastAsia"/>
        </w:rPr>
        <w:t>(</w:t>
      </w:r>
      <w:r>
        <w:t>t</w:t>
      </w:r>
      <w:r>
        <w:rPr>
          <w:rFonts w:hint="eastAsia"/>
        </w:rPr>
        <w:t>)、G1,</w:t>
      </w:r>
      <w:r>
        <w:t>1(f)</w:t>
      </w:r>
      <w:r>
        <w:rPr>
          <w:rFonts w:hint="eastAsia"/>
        </w:rPr>
        <w:t xml:space="preserve"> 、Tacho(</w:t>
      </w:r>
      <w:r>
        <w:t>Input2</w:t>
      </w:r>
      <w:r>
        <w:rPr>
          <w:rFonts w:hint="eastAsia"/>
        </w:rPr>
        <w:t>(</w:t>
      </w:r>
      <w:r>
        <w:t>t</w:t>
      </w:r>
      <w:r>
        <w:rPr>
          <w:rFonts w:hint="eastAsia"/>
        </w:rPr>
        <w:t>))”。</w:t>
      </w:r>
    </w:p>
    <w:p w14:paraId="384EA376">
      <w:pPr>
        <w:pStyle w:val="15"/>
        <w:ind w:firstLine="0" w:firstLineChars="0"/>
        <w:rPr>
          <w:kern w:val="0"/>
        </w:rPr>
      </w:pPr>
      <w:r>
        <w:drawing>
          <wp:inline distT="0" distB="0" distL="0" distR="0">
            <wp:extent cx="5278120" cy="2783205"/>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pic:cNvPicPr>
                      <a:picLocks noChangeAspect="1"/>
                    </pic:cNvPicPr>
                  </pic:nvPicPr>
                  <pic:blipFill>
                    <a:blip r:embed="rId29"/>
                    <a:stretch>
                      <a:fillRect/>
                    </a:stretch>
                  </pic:blipFill>
                  <pic:spPr>
                    <a:xfrm>
                      <a:off x="0" y="0"/>
                      <a:ext cx="5278120" cy="2783231"/>
                    </a:xfrm>
                    <a:prstGeom prst="rect">
                      <a:avLst/>
                    </a:prstGeom>
                  </pic:spPr>
                </pic:pic>
              </a:graphicData>
            </a:graphic>
          </wp:inline>
        </w:drawing>
      </w:r>
    </w:p>
    <w:p w14:paraId="1E22A952">
      <w:pPr>
        <w:pStyle w:val="15"/>
        <w:numPr>
          <w:ilvl w:val="0"/>
          <w:numId w:val="17"/>
        </w:numPr>
        <w:ind w:left="465" w:firstLine="15" w:firstLineChars="0"/>
      </w:pPr>
      <w:r>
        <w:rPr>
          <w:rFonts w:hint="eastAsia"/>
        </w:rPr>
        <w:t>实时数据记录的设置</w:t>
      </w:r>
    </w:p>
    <w:p w14:paraId="1C8B49D8">
      <w:pPr>
        <w:pStyle w:val="15"/>
        <w:ind w:firstLine="480"/>
      </w:pPr>
      <w:r>
        <w:rPr>
          <w:rFonts w:hint="eastAsia"/>
        </w:rPr>
        <w:t>点击工具栏上的</w:t>
      </w:r>
      <w:r>
        <w:rPr>
          <w:rFonts w:hint="eastAsia"/>
        </w:rPr>
        <w:drawing>
          <wp:inline distT="0" distB="0" distL="0" distR="0">
            <wp:extent cx="257175" cy="238125"/>
            <wp:effectExtent l="0" t="0" r="9525"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57175" cy="238125"/>
                    </a:xfrm>
                    <a:prstGeom prst="rect">
                      <a:avLst/>
                    </a:prstGeom>
                    <a:noFill/>
                    <a:ln>
                      <a:noFill/>
                    </a:ln>
                  </pic:spPr>
                </pic:pic>
              </a:graphicData>
            </a:graphic>
          </wp:inline>
        </w:drawing>
      </w:r>
      <w:r>
        <w:rPr>
          <w:rFonts w:hint="eastAsia"/>
        </w:rPr>
        <w:t>，进行数据记录的存储设置。在“数据记录”下，将需要记录数据的输入通道类型设置为“存储”。</w:t>
      </w:r>
    </w:p>
    <w:p w14:paraId="11C14D92">
      <w:pPr>
        <w:pStyle w:val="15"/>
        <w:ind w:firstLine="0" w:firstLineChars="0"/>
        <w:jc w:val="center"/>
      </w:pPr>
      <w:r>
        <w:drawing>
          <wp:inline distT="0" distB="0" distL="0" distR="0">
            <wp:extent cx="3639185" cy="3211195"/>
            <wp:effectExtent l="0" t="0" r="0" b="825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pic:cNvPicPr>
                      <a:picLocks noChangeAspect="1"/>
                    </pic:cNvPicPr>
                  </pic:nvPicPr>
                  <pic:blipFill>
                    <a:blip r:embed="rId31"/>
                    <a:stretch>
                      <a:fillRect/>
                    </a:stretch>
                  </pic:blipFill>
                  <pic:spPr>
                    <a:xfrm>
                      <a:off x="0" y="0"/>
                      <a:ext cx="3639600" cy="3211200"/>
                    </a:xfrm>
                    <a:prstGeom prst="rect">
                      <a:avLst/>
                    </a:prstGeom>
                  </pic:spPr>
                </pic:pic>
              </a:graphicData>
            </a:graphic>
          </wp:inline>
        </w:drawing>
      </w:r>
    </w:p>
    <w:p w14:paraId="14E91D59">
      <w:pPr>
        <w:pStyle w:val="15"/>
        <w:numPr>
          <w:ilvl w:val="0"/>
          <w:numId w:val="17"/>
        </w:numPr>
        <w:ind w:left="465" w:firstLine="15" w:firstLineChars="0"/>
      </w:pPr>
      <w:r>
        <w:rPr>
          <w:rFonts w:hint="eastAsia"/>
        </w:rPr>
        <w:t>开始采集数据</w:t>
      </w:r>
    </w:p>
    <w:p w14:paraId="365F60B5">
      <w:pPr>
        <w:pStyle w:val="15"/>
        <w:ind w:firstLine="480"/>
      </w:pPr>
      <w:r>
        <w:rPr>
          <w:rFonts w:hint="eastAsia"/>
        </w:rPr>
        <w:t>再次确认试验连线和参数设置。</w:t>
      </w:r>
    </w:p>
    <w:p w14:paraId="74F88592">
      <w:pPr>
        <w:pStyle w:val="15"/>
        <w:ind w:firstLine="480"/>
      </w:pPr>
      <w:r>
        <w:rPr>
          <w:rFonts w:hint="eastAsia"/>
        </w:rPr>
        <w:t>确认转子教学模拟平台的转速调整旋钮为逆时针到底状态，接通转子实验台电源。</w:t>
      </w:r>
    </w:p>
    <w:p w14:paraId="5455B7A1">
      <w:pPr>
        <w:pStyle w:val="15"/>
        <w:ind w:firstLine="480"/>
      </w:pPr>
      <w:r>
        <w:rPr>
          <w:rFonts w:hint="eastAsia"/>
        </w:rPr>
        <w:t>如果需要记录数据，则点击右侧控制面板的</w:t>
      </w:r>
      <w:r>
        <w:rPr>
          <w:rFonts w:hint="eastAsia"/>
        </w:rPr>
        <w:drawing>
          <wp:inline distT="0" distB="0" distL="0" distR="0">
            <wp:extent cx="240665" cy="240665"/>
            <wp:effectExtent l="0" t="0" r="6985" b="698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41200" cy="241200"/>
                    </a:xfrm>
                    <a:prstGeom prst="rect">
                      <a:avLst/>
                    </a:prstGeom>
                    <a:noFill/>
                    <a:ln>
                      <a:noFill/>
                    </a:ln>
                  </pic:spPr>
                </pic:pic>
              </a:graphicData>
            </a:graphic>
          </wp:inline>
        </w:drawing>
      </w:r>
      <w:r>
        <w:rPr>
          <w:rFonts w:hint="eastAsia"/>
        </w:rPr>
        <w:t>按钮，表示启用数据记录。</w:t>
      </w:r>
    </w:p>
    <w:p w14:paraId="158563EE">
      <w:pPr>
        <w:pStyle w:val="15"/>
        <w:ind w:firstLine="480"/>
      </w:pPr>
      <w:r>
        <w:rPr>
          <w:rFonts w:hint="eastAsia"/>
        </w:rPr>
        <w:t>点击</w:t>
      </w:r>
      <w:r>
        <w:drawing>
          <wp:inline distT="0" distB="0" distL="0" distR="0">
            <wp:extent cx="215265" cy="215265"/>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a:picLocks noChangeAspect="1"/>
                    </pic:cNvPicPr>
                  </pic:nvPicPr>
                  <pic:blipFill>
                    <a:blip r:embed="rId33" cstate="print"/>
                    <a:stretch>
                      <a:fillRect/>
                    </a:stretch>
                  </pic:blipFill>
                  <pic:spPr>
                    <a:xfrm flipV="1">
                      <a:off x="0" y="0"/>
                      <a:ext cx="216951" cy="216951"/>
                    </a:xfrm>
                    <a:prstGeom prst="rect">
                      <a:avLst/>
                    </a:prstGeom>
                  </pic:spPr>
                </pic:pic>
              </a:graphicData>
            </a:graphic>
          </wp:inline>
        </w:drawing>
      </w:r>
      <w:r>
        <w:rPr>
          <w:rFonts w:hint="eastAsia"/>
        </w:rPr>
        <w:t>按钮，开始测试，时频显示1窗口显示信号数据。</w:t>
      </w:r>
    </w:p>
    <w:p w14:paraId="53876BF4">
      <w:pPr>
        <w:pStyle w:val="15"/>
        <w:ind w:firstLine="480"/>
      </w:pPr>
      <w:r>
        <w:rPr>
          <w:rFonts w:hint="eastAsia"/>
        </w:rPr>
        <w:t>从0 RPM开始，以每秒增加约50RPM的速度，由低到高增加电机的转速直到2500 RPM，同时观察转速传感器当前的转速值，位移传感器采集到的时域信号、频谱幅值信号，进行比较。</w:t>
      </w:r>
    </w:p>
    <w:p w14:paraId="18470D30">
      <w:pPr>
        <w:pStyle w:val="15"/>
        <w:numPr>
          <w:ilvl w:val="0"/>
          <w:numId w:val="17"/>
        </w:numPr>
        <w:ind w:left="465" w:firstLine="15" w:firstLineChars="0"/>
      </w:pPr>
      <w:r>
        <w:rPr>
          <w:rFonts w:hint="eastAsia"/>
        </w:rPr>
        <w:t>离线分析</w:t>
      </w:r>
    </w:p>
    <w:p w14:paraId="6733D640">
      <w:pPr>
        <w:pStyle w:val="15"/>
        <w:ind w:firstLine="480"/>
      </w:pPr>
      <w:r>
        <w:rPr>
          <w:rFonts w:hint="eastAsia"/>
        </w:rPr>
        <w:t>点击工具栏上的</w:t>
      </w:r>
      <w:r>
        <w:rPr>
          <w:rFonts w:hint="eastAsia"/>
        </w:rPr>
        <w:drawing>
          <wp:inline distT="0" distB="0" distL="0" distR="0">
            <wp:extent cx="228600" cy="200025"/>
            <wp:effectExtent l="0" t="0" r="0"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28600" cy="200025"/>
                    </a:xfrm>
                    <a:prstGeom prst="rect">
                      <a:avLst/>
                    </a:prstGeom>
                    <a:noFill/>
                    <a:ln>
                      <a:noFill/>
                    </a:ln>
                  </pic:spPr>
                </pic:pic>
              </a:graphicData>
            </a:graphic>
          </wp:inline>
        </w:drawing>
      </w:r>
      <w:r>
        <w:rPr>
          <w:rFonts w:hint="eastAsia"/>
        </w:rPr>
        <w:t>，打开离线分析软件。单击“动态信号分析”按钮，进入动态信号分析的离线分析界面。</w:t>
      </w:r>
    </w:p>
    <w:p w14:paraId="107FC5B1">
      <w:pPr>
        <w:pStyle w:val="15"/>
        <w:ind w:firstLine="0" w:firstLineChars="0"/>
      </w:pPr>
      <w:r>
        <w:drawing>
          <wp:inline distT="0" distB="0" distL="0" distR="0">
            <wp:extent cx="4658360" cy="1904365"/>
            <wp:effectExtent l="0" t="0" r="8890" b="63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pic:cNvPicPr>
                      <a:picLocks noChangeAspect="1"/>
                    </pic:cNvPicPr>
                  </pic:nvPicPr>
                  <pic:blipFill>
                    <a:blip r:embed="rId35"/>
                    <a:stretch>
                      <a:fillRect/>
                    </a:stretch>
                  </pic:blipFill>
                  <pic:spPr>
                    <a:xfrm>
                      <a:off x="0" y="0"/>
                      <a:ext cx="4658400" cy="1904400"/>
                    </a:xfrm>
                    <a:prstGeom prst="rect">
                      <a:avLst/>
                    </a:prstGeom>
                  </pic:spPr>
                </pic:pic>
              </a:graphicData>
            </a:graphic>
          </wp:inline>
        </w:drawing>
      </w:r>
    </w:p>
    <w:p w14:paraId="0701D2F7">
      <w:pPr>
        <w:pStyle w:val="15"/>
        <w:ind w:firstLine="480"/>
      </w:pPr>
      <w:r>
        <w:rPr>
          <w:rFonts w:hint="eastAsia"/>
        </w:rPr>
        <w:t>在弹出的“信号数据”对话框中，单击第一行的“数据文件”列，在弹出的打开文件对话框中，进入刚才数据记录文件所在的目录，选择“.dar”格式的数据记录文件打开。</w:t>
      </w:r>
    </w:p>
    <w:p w14:paraId="648B553D">
      <w:pPr>
        <w:ind w:firstLine="0" w:firstLineChars="0"/>
      </w:pPr>
      <w:r>
        <w:drawing>
          <wp:inline distT="0" distB="0" distL="0" distR="0">
            <wp:extent cx="5278120" cy="2783205"/>
            <wp:effectExtent l="0" t="0" r="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pic:cNvPicPr>
                      <a:picLocks noChangeAspect="1"/>
                    </pic:cNvPicPr>
                  </pic:nvPicPr>
                  <pic:blipFill>
                    <a:blip r:embed="rId36"/>
                    <a:stretch>
                      <a:fillRect/>
                    </a:stretch>
                  </pic:blipFill>
                  <pic:spPr>
                    <a:xfrm>
                      <a:off x="0" y="0"/>
                      <a:ext cx="5278120" cy="2783205"/>
                    </a:xfrm>
                    <a:prstGeom prst="rect">
                      <a:avLst/>
                    </a:prstGeom>
                  </pic:spPr>
                </pic:pic>
              </a:graphicData>
            </a:graphic>
          </wp:inline>
        </w:drawing>
      </w:r>
    </w:p>
    <w:p w14:paraId="17C8E9BD">
      <w:pPr>
        <w:pStyle w:val="15"/>
        <w:ind w:firstLine="480"/>
      </w:pPr>
      <w:r>
        <w:rPr>
          <w:rFonts w:hint="eastAsia"/>
        </w:rPr>
        <w:t>浏览文件窗口可以看到在线测试整个过程的数据记录信号的缩略图。窗口中的红竖线可拖动，红线位置为数据分析的起点。</w:t>
      </w:r>
    </w:p>
    <w:p w14:paraId="3066EB69">
      <w:pPr>
        <w:pStyle w:val="15"/>
        <w:ind w:firstLine="480"/>
      </w:pPr>
      <w:r>
        <w:rPr>
          <w:rFonts w:hint="eastAsia"/>
        </w:rPr>
        <w:t>点击工具栏上的</w:t>
      </w:r>
      <w:r>
        <w:rPr>
          <w:rFonts w:hint="eastAsia"/>
        </w:rPr>
        <w:drawing>
          <wp:inline distT="0" distB="0" distL="0" distR="0">
            <wp:extent cx="228600" cy="2000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28600" cy="200025"/>
                    </a:xfrm>
                    <a:prstGeom prst="rect">
                      <a:avLst/>
                    </a:prstGeom>
                    <a:noFill/>
                    <a:ln>
                      <a:noFill/>
                    </a:ln>
                  </pic:spPr>
                </pic:pic>
              </a:graphicData>
            </a:graphic>
          </wp:inline>
        </w:drawing>
      </w:r>
      <w:r>
        <w:rPr>
          <w:rFonts w:hint="eastAsia"/>
        </w:rPr>
        <w:t>按钮，新建“时频显示1”窗口，</w:t>
      </w:r>
      <w:r>
        <w:t>跟在线测量同样操作</w:t>
      </w:r>
      <w:r>
        <w:rPr>
          <w:rFonts w:hint="eastAsia"/>
        </w:rPr>
        <w:t>，</w:t>
      </w:r>
      <w:r>
        <w:t>让</w:t>
      </w:r>
      <w:r>
        <w:rPr>
          <w:rFonts w:hint="eastAsia"/>
        </w:rPr>
        <w:t>“时频显示1”的4个窗格分别显示“In</w:t>
      </w:r>
      <w:r>
        <w:t>put1</w:t>
      </w:r>
      <w:r>
        <w:rPr>
          <w:rFonts w:hint="eastAsia"/>
        </w:rPr>
        <w:t>(</w:t>
      </w:r>
      <w:r>
        <w:t>t</w:t>
      </w:r>
      <w:r>
        <w:rPr>
          <w:rFonts w:hint="eastAsia"/>
        </w:rPr>
        <w:t>)、</w:t>
      </w:r>
      <w:r>
        <w:t>Input2</w:t>
      </w:r>
      <w:r>
        <w:rPr>
          <w:rFonts w:hint="eastAsia"/>
        </w:rPr>
        <w:t>(</w:t>
      </w:r>
      <w:r>
        <w:t>t</w:t>
      </w:r>
      <w:r>
        <w:rPr>
          <w:rFonts w:hint="eastAsia"/>
        </w:rPr>
        <w:t>)、G1,</w:t>
      </w:r>
      <w:r>
        <w:t>1(f)</w:t>
      </w:r>
      <w:r>
        <w:rPr>
          <w:rFonts w:hint="eastAsia"/>
        </w:rPr>
        <w:t xml:space="preserve"> 、Tacho(</w:t>
      </w:r>
      <w:r>
        <w:t>Input2</w:t>
      </w:r>
      <w:r>
        <w:rPr>
          <w:rFonts w:hint="eastAsia"/>
        </w:rPr>
        <w:t>(</w:t>
      </w:r>
      <w:r>
        <w:t>t</w:t>
      </w:r>
      <w:r>
        <w:rPr>
          <w:rFonts w:hint="eastAsia"/>
        </w:rPr>
        <w:t>))”。</w:t>
      </w:r>
    </w:p>
    <w:p w14:paraId="4781CC5F">
      <w:pPr>
        <w:pStyle w:val="15"/>
        <w:ind w:firstLine="480"/>
      </w:pPr>
      <w:r>
        <w:rPr>
          <w:rFonts w:hint="eastAsia"/>
        </w:rPr>
        <w:t>点击工具栏上的</w:t>
      </w:r>
      <w:r>
        <w:drawing>
          <wp:inline distT="0" distB="0" distL="0" distR="0">
            <wp:extent cx="217805" cy="20701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a:stretch>
                      <a:fillRect/>
                    </a:stretch>
                  </pic:blipFill>
                  <pic:spPr>
                    <a:xfrm>
                      <a:off x="0" y="0"/>
                      <a:ext cx="233324" cy="221657"/>
                    </a:xfrm>
                    <a:prstGeom prst="rect">
                      <a:avLst/>
                    </a:prstGeom>
                  </pic:spPr>
                </pic:pic>
              </a:graphicData>
            </a:graphic>
          </wp:inline>
        </w:drawing>
      </w:r>
      <w:r>
        <w:rPr>
          <w:rFonts w:hint="eastAsia"/>
        </w:rPr>
        <w:t>，进行分析参数设置。采样参数中，可以根据需要选择一帧查看信号的长度即设置“采样点数”参数，最长为131072点。加窗类型设置为“Hanning”，“触发参数”的“运行模式”设置为“手动运行”。</w:t>
      </w:r>
    </w:p>
    <w:p w14:paraId="5FA80509">
      <w:pPr>
        <w:pStyle w:val="15"/>
        <w:ind w:firstLine="0" w:firstLineChars="0"/>
        <w:jc w:val="center"/>
      </w:pPr>
      <w:r>
        <w:drawing>
          <wp:inline distT="0" distB="0" distL="0" distR="0">
            <wp:extent cx="3134995" cy="3808730"/>
            <wp:effectExtent l="0" t="0" r="8255"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8"/>
                    <a:stretch>
                      <a:fillRect/>
                    </a:stretch>
                  </pic:blipFill>
                  <pic:spPr>
                    <a:xfrm>
                      <a:off x="0" y="0"/>
                      <a:ext cx="3135600" cy="3808800"/>
                    </a:xfrm>
                    <a:prstGeom prst="rect">
                      <a:avLst/>
                    </a:prstGeom>
                  </pic:spPr>
                </pic:pic>
              </a:graphicData>
            </a:graphic>
          </wp:inline>
        </w:drawing>
      </w:r>
    </w:p>
    <w:p w14:paraId="4B5981A5">
      <w:pPr>
        <w:pStyle w:val="15"/>
        <w:ind w:firstLine="480"/>
      </w:pPr>
      <w:r>
        <w:rPr>
          <w:rFonts w:hint="eastAsia"/>
        </w:rPr>
        <w:t>开始测试，就可以回看电机从启动直到2500 RPM过程中的转速的变化，位移信号的时域和频谱幅值的变化过程。</w:t>
      </w:r>
    </w:p>
    <w:p w14:paraId="6F704B1E">
      <w:pPr>
        <w:pStyle w:val="15"/>
        <w:ind w:firstLine="480"/>
      </w:pPr>
      <w:r>
        <w:rPr>
          <w:rFonts w:hint="eastAsia"/>
        </w:rPr>
        <w:t>使用频域峰值保持平均，“自由运行”模式，查看自功率谱函数的峰值保持曲线，可以看到过程中幅值随频率的变化情况，幅值最大值出现的频率位置，从频率也能计算当时的转速信息与光电式转速传感器测量到的转速值做比较。</w:t>
      </w:r>
    </w:p>
    <w:p w14:paraId="3B3CEA97">
      <w:pPr>
        <w:pStyle w:val="15"/>
        <w:numPr>
          <w:ilvl w:val="0"/>
          <w:numId w:val="17"/>
        </w:numPr>
        <w:ind w:left="465" w:firstLine="15" w:firstLineChars="0"/>
      </w:pPr>
      <w:r>
        <w:rPr>
          <w:rFonts w:hint="eastAsia"/>
        </w:rPr>
        <w:t>悬臂梁共振试验</w:t>
      </w:r>
    </w:p>
    <w:p w14:paraId="04552C86">
      <w:pPr>
        <w:pStyle w:val="15"/>
        <w:ind w:firstLine="480"/>
      </w:pPr>
      <w:r>
        <w:t>从离线分析</w:t>
      </w:r>
      <w:r>
        <w:rPr>
          <w:rFonts w:hint="eastAsia"/>
        </w:rPr>
        <w:t>，</w:t>
      </w:r>
      <w:r>
        <w:t>查看电涡流位移传感器时域</w:t>
      </w:r>
      <w:r>
        <w:rPr>
          <w:rFonts w:hint="eastAsia"/>
        </w:rPr>
        <w:t>、</w:t>
      </w:r>
      <w:r>
        <w:t>自功率谱幅值最大时刻对应的转速</w:t>
      </w:r>
      <w:r>
        <w:rPr>
          <w:rFonts w:hint="eastAsia"/>
        </w:rPr>
        <w:t>。调整电机转速到相应的位置，查看悬臂梁的共振现象。测试记录悬臂梁共振时的电机转速、位移幅值。</w:t>
      </w:r>
    </w:p>
    <w:p w14:paraId="226B41BE">
      <w:pPr>
        <w:pStyle w:val="15"/>
        <w:ind w:firstLine="480"/>
      </w:pPr>
      <w:r>
        <w:rPr>
          <w:rFonts w:hint="eastAsia"/>
        </w:rPr>
        <w:t>将测试数据与实验一进行对比，了解不同材质对悬臂梁固有频率的影响。</w:t>
      </w:r>
    </w:p>
    <w:p w14:paraId="0B2BE198">
      <w:pPr>
        <w:pStyle w:val="15"/>
        <w:numPr>
          <w:ilvl w:val="0"/>
          <w:numId w:val="11"/>
        </w:numPr>
        <w:ind w:left="425" w:hanging="431" w:firstLineChars="0"/>
        <w:outlineLvl w:val="1"/>
        <w:rPr>
          <w:b/>
          <w:bCs/>
        </w:rPr>
      </w:pPr>
      <w:r>
        <w:rPr>
          <w:rFonts w:hint="eastAsia"/>
          <w:b/>
          <w:bCs/>
        </w:rPr>
        <w:t>实验知识点</w:t>
      </w:r>
    </w:p>
    <w:p w14:paraId="4B0435E0">
      <w:pPr>
        <w:pStyle w:val="15"/>
        <w:numPr>
          <w:ilvl w:val="0"/>
          <w:numId w:val="18"/>
        </w:numPr>
        <w:ind w:firstLineChars="0"/>
      </w:pPr>
      <w:r>
        <w:rPr>
          <w:rFonts w:hint="eastAsia"/>
        </w:rPr>
        <w:t>进一步掌握光电式转速传感器的原理及使用方法。</w:t>
      </w:r>
    </w:p>
    <w:p w14:paraId="2FE622F8">
      <w:pPr>
        <w:pStyle w:val="15"/>
        <w:numPr>
          <w:ilvl w:val="0"/>
          <w:numId w:val="18"/>
        </w:numPr>
        <w:ind w:firstLineChars="0"/>
      </w:pPr>
      <w:r>
        <w:rPr>
          <w:rFonts w:hint="eastAsia"/>
        </w:rPr>
        <w:t>附加质量、材质对悬臂梁的固有频率的影响</w:t>
      </w:r>
    </w:p>
    <w:p w14:paraId="22A93A5A">
      <w:pPr>
        <w:pStyle w:val="15"/>
        <w:ind w:left="425" w:leftChars="177" w:firstLine="480"/>
      </w:pPr>
      <w:r>
        <w:rPr>
          <w:rFonts w:hint="eastAsia"/>
        </w:rPr>
        <w:t>物体的频率与它的硬度、质量、外形尺寸都有关，当其发生变形时弹力使其恢复。弹力主要与尺寸和硬度有关，质量影响其加速度。同样外形时，硬度高的频率高，质量大的频率低。一个系统的质量分布，内部的弹性以及其他的力学性质决定。</w:t>
      </w:r>
    </w:p>
    <w:p w14:paraId="441F1ECC">
      <w:pPr>
        <w:pStyle w:val="15"/>
        <w:ind w:left="425" w:leftChars="177" w:firstLine="480"/>
      </w:pPr>
      <w:r>
        <w:rPr>
          <w:rFonts w:hint="eastAsia"/>
        </w:rPr>
        <w:t>本实验通过测量与实验一同一个悬臂梁（不锈钢）附加质量、相同外形不同材质（不锈钢、黄铜）的悬臂梁，2种工况下悬臂梁共振频率的变化，学生们可以进一步了解质量、硬度对物体固有频率的影响。</w:t>
      </w:r>
    </w:p>
    <w:p w14:paraId="31D52725">
      <w:pPr>
        <w:pStyle w:val="15"/>
        <w:ind w:left="425" w:leftChars="177" w:firstLine="480"/>
      </w:pPr>
      <w:r>
        <w:rPr>
          <w:rFonts w:hint="eastAsia"/>
        </w:rPr>
        <w:t>实际测量结果可以跟有限元分析的结果做个对比。</w:t>
      </w:r>
    </w:p>
    <w:p w14:paraId="2FD70F1E">
      <w:pPr>
        <w:ind w:firstLine="420" w:firstLineChars="175"/>
      </w:pPr>
      <w:r>
        <w:rPr>
          <w:rFonts w:hint="eastAsia"/>
        </w:rPr>
        <w:t>附有限元分析结果：</w:t>
      </w:r>
    </w:p>
    <w:p w14:paraId="578EC327">
      <w:pPr>
        <w:pStyle w:val="15"/>
        <w:numPr>
          <w:ilvl w:val="0"/>
          <w:numId w:val="19"/>
        </w:numPr>
        <w:ind w:firstLine="11" w:firstLineChars="0"/>
      </w:pPr>
      <w:r>
        <w:rPr>
          <w:rFonts w:hint="eastAsia"/>
        </w:rPr>
        <w:t>长165mm，宽20mm，厚0.6mm，一头固定安装在轴承座上的410不锈钢悬臂梁的一阶固有频率约为20.903Hz。</w:t>
      </w:r>
    </w:p>
    <w:p w14:paraId="4455B98A">
      <w:pPr>
        <w:ind w:firstLine="439" w:firstLineChars="183"/>
      </w:pPr>
      <w:r>
        <w:drawing>
          <wp:inline distT="0" distB="0" distL="0" distR="0">
            <wp:extent cx="5276850" cy="21050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6850" cy="2105025"/>
                    </a:xfrm>
                    <a:prstGeom prst="rect">
                      <a:avLst/>
                    </a:prstGeom>
                    <a:noFill/>
                    <a:ln>
                      <a:noFill/>
                    </a:ln>
                  </pic:spPr>
                </pic:pic>
              </a:graphicData>
            </a:graphic>
          </wp:inline>
        </w:drawing>
      </w:r>
    </w:p>
    <w:p w14:paraId="00628F00">
      <w:pPr>
        <w:pStyle w:val="15"/>
        <w:numPr>
          <w:ilvl w:val="0"/>
          <w:numId w:val="19"/>
        </w:numPr>
        <w:ind w:firstLine="11" w:firstLineChars="0"/>
      </w:pPr>
      <w:r>
        <w:rPr>
          <w:rFonts w:hint="eastAsia"/>
        </w:rPr>
        <w:t>长165mm，宽20mm，厚0.6mm，距离端部约2cm处放置加速度传感器（重约14g），一头固定安装在轴承座上的410不锈钢悬臂梁的一阶固有频率约为11.358Hz</w:t>
      </w:r>
    </w:p>
    <w:p w14:paraId="351DED9F">
      <w:pPr>
        <w:ind w:firstLineChars="0"/>
      </w:pPr>
      <w:r>
        <w:drawing>
          <wp:inline distT="0" distB="0" distL="0" distR="0">
            <wp:extent cx="5276850" cy="20955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6850" cy="2095500"/>
                    </a:xfrm>
                    <a:prstGeom prst="rect">
                      <a:avLst/>
                    </a:prstGeom>
                    <a:noFill/>
                    <a:ln>
                      <a:noFill/>
                    </a:ln>
                  </pic:spPr>
                </pic:pic>
              </a:graphicData>
            </a:graphic>
          </wp:inline>
        </w:drawing>
      </w:r>
    </w:p>
    <w:p w14:paraId="19086692">
      <w:pPr>
        <w:pStyle w:val="15"/>
        <w:numPr>
          <w:ilvl w:val="0"/>
          <w:numId w:val="19"/>
        </w:numPr>
        <w:ind w:firstLine="11" w:firstLineChars="0"/>
      </w:pPr>
      <w:r>
        <w:rPr>
          <w:rFonts w:hint="eastAsia"/>
        </w:rPr>
        <w:t>长165mm，宽20mm，厚0.6mm，一头固定安装在轴承座上的黄铜悬臂梁的一阶固有频率约为14.475Hz</w:t>
      </w:r>
    </w:p>
    <w:p w14:paraId="373512C7">
      <w:pPr>
        <w:ind w:firstLine="420" w:firstLineChars="175"/>
      </w:pPr>
      <w:r>
        <w:drawing>
          <wp:inline distT="0" distB="0" distL="0" distR="0">
            <wp:extent cx="5276850" cy="20383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6850" cy="2038350"/>
                    </a:xfrm>
                    <a:prstGeom prst="rect">
                      <a:avLst/>
                    </a:prstGeom>
                    <a:noFill/>
                    <a:ln>
                      <a:noFill/>
                    </a:ln>
                  </pic:spPr>
                </pic:pic>
              </a:graphicData>
            </a:graphic>
          </wp:inline>
        </w:drawing>
      </w:r>
    </w:p>
    <w:p w14:paraId="48FF51A6">
      <w:pPr>
        <w:pStyle w:val="15"/>
        <w:numPr>
          <w:ilvl w:val="0"/>
          <w:numId w:val="18"/>
        </w:numPr>
        <w:ind w:firstLineChars="0"/>
      </w:pPr>
      <w:r>
        <w:rPr>
          <w:rFonts w:hint="eastAsia"/>
        </w:rPr>
        <w:t>加速度传感器与位移传感器测得的波形结果的关系与理论加速度与位移波形关系相对应。</w:t>
      </w:r>
    </w:p>
    <w:p w14:paraId="1737CFDE">
      <w:pPr>
        <w:pStyle w:val="15"/>
        <w:ind w:left="425" w:leftChars="177" w:firstLine="960" w:firstLineChars="400"/>
      </w:pPr>
      <w:r>
        <w:rPr>
          <w:rFonts w:hint="eastAsia"/>
        </w:rPr>
        <w:t>位移信号为：</w:t>
      </w:r>
      <m:oMath>
        <m:r>
          <m:rPr>
            <m:sty m:val="p"/>
          </m:rPr>
          <w:rPr>
            <w:rFonts w:hint="eastAsia" w:ascii="Cambria Math" w:hAnsi="Cambria Math"/>
          </w:rPr>
          <m:t>y</m:t>
        </m:r>
        <m:r>
          <m:rPr>
            <m:sty m:val="p"/>
          </m:rPr>
          <w:rPr>
            <w:rFonts w:ascii="Cambria Math" w:hAnsi="Cambria Math"/>
          </w:rPr>
          <m:t>=Ysin</m:t>
        </m:r>
        <m:d>
          <m:dPr>
            <m:ctrlPr>
              <w:rPr>
                <w:rFonts w:ascii="Cambria Math" w:hAnsi="Cambria Math"/>
              </w:rPr>
            </m:ctrlPr>
          </m:dPr>
          <m:e>
            <m:r>
              <m:rPr>
                <m:sty m:val="p"/>
              </m:rPr>
              <w:rPr>
                <w:rFonts w:ascii="Cambria Math" w:hAnsi="Cambria Math"/>
              </w:rPr>
              <m:t>ωt−φ</m:t>
            </m:r>
            <m:ctrlPr>
              <w:rPr>
                <w:rFonts w:ascii="Cambria Math" w:hAnsi="Cambria Math"/>
              </w:rPr>
            </m:ctrlPr>
          </m:e>
        </m:d>
      </m:oMath>
    </w:p>
    <w:p w14:paraId="31F3304B">
      <w:pPr>
        <w:pStyle w:val="15"/>
        <w:ind w:left="425" w:leftChars="177" w:firstLine="960" w:firstLineChars="400"/>
      </w:pPr>
      <w:r>
        <w:rPr>
          <w:rFonts w:hint="eastAsia"/>
        </w:rPr>
        <w:t>速度信号为：</w:t>
      </w:r>
      <m:oMath>
        <m:acc>
          <m:accPr>
            <m:chr m:val="̇"/>
            <m:ctrlPr>
              <w:rPr>
                <w:rFonts w:ascii="Cambria Math" w:hAnsi="Cambria Math"/>
              </w:rPr>
            </m:ctrlPr>
          </m:accPr>
          <m:e>
            <m:r>
              <m:rPr>
                <m:sty m:val="p"/>
              </m:rPr>
              <w:rPr>
                <w:rFonts w:hint="eastAsia" w:ascii="Cambria Math" w:hAnsi="Cambria Math"/>
              </w:rPr>
              <m:t>y</m:t>
            </m:r>
            <m:ctrlPr>
              <w:rPr>
                <w:rFonts w:ascii="Cambria Math" w:hAnsi="Cambria Math"/>
              </w:rPr>
            </m:ctrlPr>
          </m:e>
        </m:acc>
        <m:r>
          <m:rPr>
            <m:sty m:val="p"/>
          </m:rPr>
          <w:rPr>
            <w:rFonts w:ascii="Cambria Math" w:hAnsi="Cambria Math"/>
          </w:rPr>
          <m:t>=ωYcos(ωt−φ)</m:t>
        </m:r>
      </m:oMath>
    </w:p>
    <w:p w14:paraId="5060724F">
      <w:pPr>
        <w:pStyle w:val="15"/>
        <w:ind w:left="425" w:leftChars="177" w:firstLine="960" w:firstLineChars="400"/>
      </w:pPr>
      <w:r>
        <w:rPr>
          <w:rFonts w:hint="eastAsia"/>
        </w:rPr>
        <w:t>加速度信号为：</w:t>
      </w:r>
      <m:oMath>
        <m:acc>
          <m:accPr>
            <m:chr m:val="̈"/>
            <m:ctrlPr>
              <w:rPr>
                <w:rFonts w:ascii="Cambria Math" w:hAnsi="Cambria Math"/>
              </w:rPr>
            </m:ctrlPr>
          </m:accPr>
          <m:e>
            <m:r>
              <m:rPr>
                <m:sty m:val="p"/>
              </m:rPr>
              <w:rPr>
                <w:rFonts w:hint="eastAsia" w:ascii="Cambria Math" w:hAnsi="Cambria Math"/>
              </w:rPr>
              <m:t>y</m:t>
            </m:r>
            <m:ctrlPr>
              <w:rPr>
                <w:rFonts w:ascii="Cambria Math" w:hAnsi="Cambria Math"/>
              </w:rPr>
            </m:ctrlPr>
          </m:e>
        </m:acc>
        <m:r>
          <m:rPr>
            <m:sty m:val="p"/>
          </m:rPr>
          <w:rPr>
            <w:rFonts w:ascii="Cambria Math" w:hAnsi="Cambria Math"/>
          </w:rPr>
          <m:t>=−</m:t>
        </m:r>
        <m:sSup>
          <m:sSupPr>
            <m:ctrlPr>
              <w:rPr>
                <w:rFonts w:ascii="Cambria Math" w:hAnsi="Cambria Math"/>
              </w:rPr>
            </m:ctrlPr>
          </m:sSupPr>
          <m:e>
            <m:r>
              <m:rPr>
                <m:sty m:val="p"/>
              </m:rPr>
              <w:rPr>
                <w:rFonts w:ascii="Cambria Math" w:hAnsi="Cambria Math"/>
              </w:rPr>
              <m:t>ω</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sin⁡(ωt−φ)</m:t>
        </m:r>
      </m:oMath>
    </w:p>
    <w:p w14:paraId="232745AB">
      <w:pPr>
        <w:pStyle w:val="15"/>
        <w:ind w:left="425" w:leftChars="177" w:firstLine="480"/>
      </w:pPr>
      <w:r>
        <w:rPr>
          <w:rFonts w:hint="eastAsia"/>
        </w:rPr>
        <w:t>本实验通过使用加速度传感器和位移传感器测量，采集在电机转动时悬臂梁振动的加速度信号和位移信号。通过时域波形相位对比，以及同一频率下加速度信号和位移信号波德图关系，学生们可以更直观的理解加速度信号和位移信号的幅值比和相位差关系。</w:t>
      </w:r>
    </w:p>
    <w:p w14:paraId="1F2D0012">
      <w:pPr>
        <w:pStyle w:val="15"/>
        <w:numPr>
          <w:ilvl w:val="0"/>
          <w:numId w:val="11"/>
        </w:numPr>
        <w:ind w:left="425" w:hanging="431" w:firstLineChars="0"/>
        <w:outlineLvl w:val="1"/>
        <w:rPr>
          <w:b/>
          <w:bCs/>
        </w:rPr>
      </w:pPr>
      <w:r>
        <w:rPr>
          <w:rFonts w:hint="eastAsia"/>
          <w:b/>
          <w:bCs/>
        </w:rPr>
        <w:t>注意事项</w:t>
      </w:r>
    </w:p>
    <w:p w14:paraId="1D431ABD">
      <w:pPr>
        <w:pStyle w:val="15"/>
        <w:numPr>
          <w:ilvl w:val="0"/>
          <w:numId w:val="20"/>
        </w:numPr>
        <w:ind w:left="851" w:firstLineChars="0"/>
      </w:pPr>
      <w:r>
        <w:rPr>
          <w:rFonts w:hint="eastAsia"/>
        </w:rPr>
        <w:t>在转子教学实验模拟平台连接电源前，旋钮调零。</w:t>
      </w:r>
    </w:p>
    <w:p w14:paraId="3F4D213A">
      <w:pPr>
        <w:pStyle w:val="15"/>
        <w:numPr>
          <w:ilvl w:val="0"/>
          <w:numId w:val="20"/>
        </w:numPr>
        <w:ind w:left="851" w:firstLineChars="0"/>
      </w:pPr>
      <w:r>
        <w:rPr>
          <w:rFonts w:hint="eastAsia"/>
        </w:rPr>
        <w:t>实验时，需要慢慢调整电机的转速旋钮，且最大转速不超过6</w:t>
      </w:r>
      <w:r>
        <w:t>000</w:t>
      </w:r>
      <w:r>
        <w:rPr>
          <w:rFonts w:hint="eastAsia"/>
        </w:rPr>
        <w:t xml:space="preserve"> RPM。</w:t>
      </w:r>
    </w:p>
    <w:p w14:paraId="23F450A3">
      <w:pPr>
        <w:pStyle w:val="15"/>
        <w:numPr>
          <w:ilvl w:val="0"/>
          <w:numId w:val="20"/>
        </w:numPr>
        <w:ind w:left="851" w:firstLineChars="0"/>
      </w:pPr>
      <w:r>
        <w:rPr>
          <w:rFonts w:hint="eastAsia"/>
        </w:rPr>
        <w:t>实验结束后，电机旋钮归零，拔掉电源。退出软件，并关闭数据采集仪。</w:t>
      </w:r>
    </w:p>
    <w:p w14:paraId="60D43703">
      <w:pPr>
        <w:widowControl/>
        <w:spacing w:line="240" w:lineRule="auto"/>
        <w:ind w:firstLine="0" w:firstLineChars="0"/>
        <w:jc w:val="left"/>
      </w:pPr>
      <w:r>
        <w:br w:type="page"/>
      </w:r>
    </w:p>
    <w:p w14:paraId="4A8BF9F9">
      <w:pPr>
        <w:pStyle w:val="2"/>
      </w:pPr>
      <w:bookmarkStart w:id="2" w:name="_Toc12674"/>
      <w:r>
        <w:rPr>
          <w:rFonts w:hint="eastAsia"/>
        </w:rPr>
        <w:t>实验三 信号采集和混迭现象分析实验</w:t>
      </w:r>
      <w:bookmarkEnd w:id="2"/>
    </w:p>
    <w:p w14:paraId="5664E7D4">
      <w:pPr>
        <w:pStyle w:val="15"/>
        <w:numPr>
          <w:ilvl w:val="0"/>
          <w:numId w:val="21"/>
        </w:numPr>
        <w:ind w:left="425" w:hanging="431" w:firstLineChars="0"/>
        <w:outlineLvl w:val="1"/>
        <w:rPr>
          <w:b/>
          <w:bCs/>
        </w:rPr>
      </w:pPr>
      <w:r>
        <w:rPr>
          <w:rFonts w:hint="eastAsia"/>
          <w:b/>
          <w:bCs/>
        </w:rPr>
        <w:t>实验目的</w:t>
      </w:r>
    </w:p>
    <w:p w14:paraId="7A563E14">
      <w:pPr>
        <w:pStyle w:val="15"/>
        <w:numPr>
          <w:ilvl w:val="0"/>
          <w:numId w:val="22"/>
        </w:numPr>
        <w:ind w:left="851" w:firstLineChars="0"/>
      </w:pPr>
      <w:r>
        <w:rPr>
          <w:rFonts w:hint="eastAsia"/>
        </w:rPr>
        <w:t>了解标准信号波形参数及频谱、相关和概率密度函数的内容和重要意义；</w:t>
      </w:r>
    </w:p>
    <w:p w14:paraId="11FE2B00">
      <w:pPr>
        <w:pStyle w:val="15"/>
        <w:numPr>
          <w:ilvl w:val="0"/>
          <w:numId w:val="22"/>
        </w:numPr>
        <w:ind w:left="851" w:firstLineChars="0"/>
      </w:pPr>
      <w:r>
        <w:rPr>
          <w:rFonts w:hint="eastAsia"/>
        </w:rPr>
        <w:t>理解各类图谱的含义及应用；</w:t>
      </w:r>
    </w:p>
    <w:p w14:paraId="24C0E84B">
      <w:pPr>
        <w:pStyle w:val="15"/>
        <w:numPr>
          <w:ilvl w:val="0"/>
          <w:numId w:val="22"/>
        </w:numPr>
        <w:ind w:left="851" w:firstLineChars="0"/>
      </w:pPr>
      <w:r>
        <w:rPr>
          <w:rFonts w:hint="eastAsia"/>
        </w:rPr>
        <w:t>掌握信号采样过程，并通过本实验观察信号频谱的混迭现象；</w:t>
      </w:r>
    </w:p>
    <w:p w14:paraId="0BD63E22">
      <w:pPr>
        <w:pStyle w:val="15"/>
        <w:numPr>
          <w:ilvl w:val="0"/>
          <w:numId w:val="22"/>
        </w:numPr>
        <w:ind w:left="851" w:firstLineChars="0"/>
      </w:pPr>
      <w:r>
        <w:rPr>
          <w:rFonts w:hint="eastAsia"/>
        </w:rPr>
        <w:t>了解采样前后信号频谱的变化，加深对采样定理的理解，掌握采样频率的确定方法。</w:t>
      </w:r>
    </w:p>
    <w:p w14:paraId="10CEEF00">
      <w:pPr>
        <w:pStyle w:val="15"/>
        <w:numPr>
          <w:ilvl w:val="0"/>
          <w:numId w:val="21"/>
        </w:numPr>
        <w:ind w:left="425" w:hanging="431" w:firstLineChars="0"/>
        <w:outlineLvl w:val="1"/>
        <w:rPr>
          <w:b/>
          <w:bCs/>
        </w:rPr>
      </w:pPr>
      <w:r>
        <w:rPr>
          <w:rFonts w:hint="eastAsia"/>
          <w:b/>
          <w:bCs/>
        </w:rPr>
        <w:t>实验原理</w:t>
      </w:r>
    </w:p>
    <w:p w14:paraId="426224D3">
      <w:pPr>
        <w:pStyle w:val="15"/>
        <w:numPr>
          <w:ilvl w:val="0"/>
          <w:numId w:val="23"/>
        </w:numPr>
        <w:ind w:left="851" w:firstLineChars="0"/>
      </w:pPr>
      <w:r>
        <w:rPr>
          <w:rFonts w:hint="eastAsia"/>
        </w:rPr>
        <w:t>信号处理的常用方法</w:t>
      </w:r>
    </w:p>
    <w:p w14:paraId="77DF17A7">
      <w:pPr>
        <w:pStyle w:val="15"/>
        <w:numPr>
          <w:ilvl w:val="0"/>
          <w:numId w:val="24"/>
        </w:numPr>
        <w:ind w:firstLineChars="0"/>
        <w:rPr>
          <w:kern w:val="0"/>
        </w:rPr>
      </w:pPr>
      <w:r>
        <w:rPr>
          <w:rFonts w:hint="eastAsia"/>
          <w:kern w:val="0"/>
        </w:rPr>
        <w:t>自相关分析</w:t>
      </w:r>
    </w:p>
    <w:p w14:paraId="2546D6B3">
      <w:pPr>
        <w:pStyle w:val="15"/>
        <w:ind w:firstLine="480"/>
      </w:pPr>
      <m:oMathPara>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rPr>
                <m:t>x</m:t>
              </m:r>
              <m:ctrlPr>
                <w:rPr>
                  <w:rFonts w:ascii="Cambria Math" w:hAnsi="Cambria Math"/>
                </w:rPr>
              </m:ctrlPr>
            </m:sub>
          </m:sSub>
          <m:d>
            <m:dPr>
              <m:ctrlPr>
                <w:rPr>
                  <w:rFonts w:ascii="Cambria Math" w:hAnsi="Cambria Math"/>
                </w:rPr>
              </m:ctrlPr>
            </m:dPr>
            <w:bookmarkStart w:id="3" w:name="_Hlk68853800"/>
            <m:e>
              <m:r>
                <m:rPr>
                  <m:sty m:val="p"/>
                </m:rPr>
                <w:rPr>
                  <w:rFonts w:ascii="Cambria Math" w:hAnsi="Cambria Math"/>
                </w:rPr>
                <m:t>τ</m:t>
              </m:r>
              <w:bookmarkEnd w:id="3"/>
              <m:ctrlPr>
                <w:rPr>
                  <w:rFonts w:ascii="Cambria Math" w:hAnsi="Cambria Math"/>
                </w:rPr>
              </m:ctrlPr>
            </m:e>
          </m:d>
          <m:r>
            <m:rPr>
              <m:sty m:val="p"/>
            </m:rPr>
            <w:rPr>
              <w:rFonts w:hint="eastAsia"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T</m:t>
                  </m:r>
                  <m:r>
                    <m:rPr>
                      <m:sty m:val="p"/>
                    </m:rPr>
                    <w:rPr>
                      <w:rFonts w:hint="eastAsia" w:ascii="Cambria Math" w:hAnsi="Cambria Math"/>
                    </w:rPr>
                    <m:t>→</m:t>
                  </m:r>
                  <m:r>
                    <m:rPr>
                      <m:sty m:val="p"/>
                    </m:rPr>
                    <w:rPr>
                      <w:rFonts w:ascii="Cambria Math" w:hAnsi="Cambria Math"/>
                    </w:rPr>
                    <m:t>∞</m:t>
                  </m:r>
                  <m:ctrlPr>
                    <w:rPr>
                      <w:rFonts w:ascii="Cambria Math" w:hAnsi="Cambria Math"/>
                    </w:rPr>
                  </m:ctrlPr>
                </m:lim>
              </m:limLow>
              <m:ctrlPr>
                <w:rPr>
                  <w:rFonts w:ascii="Cambria Math" w:hAnsi="Cambria Math"/>
                </w:rPr>
              </m:ctrlPr>
            </m:fName>
            <m:e>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T</m:t>
                  </m:r>
                  <m:ctrlPr>
                    <w:rPr>
                      <w:rFonts w:ascii="Cambria Math" w:hAnsi="Cambria Math"/>
                    </w:rPr>
                  </m:ctrlPr>
                </m:den>
              </m:f>
              <m:nary>
                <m:naryPr>
                  <m:limLoc m:val="subSup"/>
                  <m:ctrlPr>
                    <w:rPr>
                      <w:rFonts w:ascii="Cambria Math" w:hAnsi="Cambria Math"/>
                    </w:rPr>
                  </m:ctrlPr>
                </m:naryPr>
                <m:sub>
                  <m:r>
                    <m:rPr>
                      <m:sty m:val="p"/>
                    </m:rPr>
                    <w:rPr>
                      <w:rFonts w:ascii="Cambria Math" w:hAnsi="Cambria Math"/>
                    </w:rPr>
                    <m:t>0</m:t>
                  </m:r>
                  <m:ctrlPr>
                    <w:rPr>
                      <w:rFonts w:ascii="Cambria Math" w:hAnsi="Cambria Math"/>
                    </w:rPr>
                  </m:ctrlPr>
                </m:sub>
                <m:sup>
                  <m:r>
                    <m:rPr>
                      <m:sty m:val="p"/>
                    </m:rPr>
                    <w:rPr>
                      <w:rFonts w:ascii="Cambria Math" w:hAnsi="Cambria Math"/>
                    </w:rPr>
                    <m:t>T</m:t>
                  </m:r>
                  <m:ctrlPr>
                    <w:rPr>
                      <w:rFonts w:ascii="Cambria Math" w:hAnsi="Cambria Math"/>
                    </w:rPr>
                  </m:ctrlPr>
                </m:sup>
                <m:e>
                  <m:r>
                    <m:rPr>
                      <m:sty m:val="p"/>
                    </m:rPr>
                    <w:rPr>
                      <w:rFonts w:ascii="Cambria Math" w:hAnsi="Cambria Math"/>
                    </w:rPr>
                    <m:t>x(t)x(t+τ)dt</m:t>
                  </m:r>
                  <m:ctrlPr>
                    <w:rPr>
                      <w:rFonts w:ascii="Cambria Math" w:hAnsi="Cambria Math"/>
                    </w:rPr>
                  </m:ctrlPr>
                </m:e>
              </m:nary>
              <m:ctrlPr>
                <w:rPr>
                  <w:rFonts w:ascii="Cambria Math" w:hAnsi="Cambria Math"/>
                </w:rPr>
              </m:ctrlPr>
            </m:e>
          </m:func>
        </m:oMath>
      </m:oMathPara>
    </w:p>
    <w:p w14:paraId="521BBBB2">
      <w:pPr>
        <w:pStyle w:val="15"/>
        <w:ind w:firstLine="480"/>
      </w:pPr>
      <w:r>
        <w:rPr>
          <w:rFonts w:hint="eastAsia"/>
        </w:rPr>
        <w:t>自相关函数是</w:t>
      </w:r>
      <m:oMath>
        <m:r>
          <m:rPr>
            <m:sty m:val="p"/>
          </m:rPr>
          <w:rPr>
            <w:rFonts w:ascii="Cambria Math" w:hAnsi="Cambria Math"/>
          </w:rPr>
          <m:t>τ</m:t>
        </m:r>
      </m:oMath>
      <w:r>
        <w:rPr>
          <w:rFonts w:hint="eastAsia"/>
        </w:rPr>
        <w:t>的偶函数，即</w:t>
      </w:r>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rPr>
              <m:t>x</m:t>
            </m:r>
            <m:ctrlPr>
              <w:rPr>
                <w:rFonts w:ascii="Cambria Math" w:hAnsi="Cambria Math"/>
              </w:rPr>
            </m:ctrlPr>
          </m:sub>
        </m:sSub>
        <m:d>
          <m:dPr>
            <m:ctrlPr>
              <w:rPr>
                <w:rFonts w:ascii="Cambria Math" w:hAnsi="Cambria Math"/>
              </w:rPr>
            </m:ctrlPr>
          </m:dPr>
          <m:e>
            <m:r>
              <m:rPr>
                <m:sty m:val="p"/>
              </m:rPr>
              <w:rPr>
                <w:rFonts w:ascii="Cambria Math" w:hAnsi="Cambria Math"/>
              </w:rPr>
              <m:t>τ</m:t>
            </m:r>
            <m:ctrlPr>
              <w:rPr>
                <w:rFonts w:ascii="Cambria Math" w:hAnsi="Cambria Math"/>
              </w:rPr>
            </m:ctrlPr>
          </m:e>
        </m:d>
        <m:r>
          <m:rPr>
            <m:sty m:val="p"/>
          </m:rPr>
          <w:rPr>
            <w:rFonts w:hint="eastAsia" w:ascii="Cambria Math" w:hAnsi="Cambria Math"/>
          </w:rPr>
          <m:t>=</m:t>
        </m:r>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rPr>
              <m:t>x</m:t>
            </m:r>
            <m:ctrlPr>
              <w:rPr>
                <w:rFonts w:ascii="Cambria Math" w:hAnsi="Cambria Math"/>
              </w:rPr>
            </m:ctrlPr>
          </m:sub>
        </m:sSub>
        <m:d>
          <m:dPr>
            <m:ctrlPr>
              <w:rPr>
                <w:rFonts w:ascii="Cambria Math" w:hAnsi="Cambria Math"/>
              </w:rPr>
            </m:ctrlPr>
          </m:dPr>
          <m:e>
            <m:r>
              <m:rPr>
                <m:sty m:val="p"/>
              </m:rPr>
              <w:rPr>
                <w:rFonts w:hint="eastAsia" w:ascii="Cambria Math" w:hAnsi="Cambria Math"/>
              </w:rPr>
              <m:t>−</m:t>
            </m:r>
            <m:r>
              <m:rPr>
                <m:sty m:val="p"/>
              </m:rPr>
              <w:rPr>
                <w:rFonts w:ascii="Cambria Math" w:hAnsi="Cambria Math"/>
              </w:rPr>
              <m:t>τ</m:t>
            </m:r>
            <m:ctrlPr>
              <w:rPr>
                <w:rFonts w:ascii="Cambria Math" w:hAnsi="Cambria Math"/>
              </w:rPr>
            </m:ctrlPr>
          </m:e>
        </m:d>
      </m:oMath>
      <w:r>
        <w:rPr>
          <w:rFonts w:hint="eastAsia"/>
        </w:rPr>
        <w:t>，当</w:t>
      </w:r>
      <m:oMath>
        <m:r>
          <m:rPr>
            <m:sty m:val="p"/>
          </m:rPr>
          <w:rPr>
            <w:rFonts w:ascii="Cambria Math" w:hAnsi="Cambria Math"/>
          </w:rPr>
          <m:t>τ</m:t>
        </m:r>
        <m:r>
          <m:rPr>
            <m:sty m:val="p"/>
          </m:rPr>
          <w:rPr>
            <w:rFonts w:hint="eastAsia" w:ascii="Cambria Math" w:hAnsi="Cambria Math"/>
          </w:rPr>
          <m:t>=</m:t>
        </m:r>
        <m:r>
          <m:rPr>
            <m:sty m:val="p"/>
          </m:rPr>
          <w:rPr>
            <w:rFonts w:ascii="Cambria Math" w:hAnsi="Cambria Math"/>
          </w:rPr>
          <m:t>0</m:t>
        </m:r>
      </m:oMath>
      <w:r>
        <w:rPr>
          <w:rFonts w:hint="eastAsia"/>
        </w:rPr>
        <w:t>时，自相关函数具有极大值，且等于信号的均方值。</w:t>
      </w:r>
    </w:p>
    <w:p w14:paraId="7AAB207E">
      <w:pPr>
        <w:pStyle w:val="15"/>
        <w:ind w:firstLine="480"/>
      </w:pPr>
      <w:r>
        <w:rPr>
          <w:rFonts w:hint="eastAsia"/>
        </w:rPr>
        <w:t>周期函数的自相关函数为</w:t>
      </w:r>
    </w:p>
    <w:p w14:paraId="1DEC28DD">
      <w:pPr>
        <w:pStyle w:val="15"/>
        <w:ind w:firstLine="480"/>
      </w:pPr>
      <m:oMathPara>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rPr>
                <m:t>x</m:t>
              </m:r>
              <m:ctrlPr>
                <w:rPr>
                  <w:rFonts w:ascii="Cambria Math" w:hAnsi="Cambria Math"/>
                </w:rPr>
              </m:ctrlPr>
            </m:sub>
          </m:sSub>
          <m:d>
            <m:dPr>
              <m:ctrlPr>
                <w:rPr>
                  <w:rFonts w:ascii="Cambria Math" w:hAnsi="Cambria Math"/>
                </w:rPr>
              </m:ctrlPr>
            </m:dPr>
            <m:e>
              <m:r>
                <m:rPr>
                  <m:sty m:val="p"/>
                </m:rPr>
                <w:rPr>
                  <w:rFonts w:ascii="Cambria Math" w:hAnsi="Cambria Math"/>
                </w:rPr>
                <m:t>τ</m:t>
              </m:r>
              <m:ctrlPr>
                <w:rPr>
                  <w:rFonts w:ascii="Cambria Math" w:hAnsi="Cambria Math"/>
                </w:rPr>
              </m:ctrlPr>
            </m:e>
          </m:d>
          <m:r>
            <m:rPr>
              <m:sty m:val="p"/>
            </m:rPr>
            <w:rPr>
              <w:rFonts w:hint="eastAsia"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T</m:t>
              </m:r>
              <m:ctrlPr>
                <w:rPr>
                  <w:rFonts w:ascii="Cambria Math" w:hAnsi="Cambria Math"/>
                </w:rPr>
              </m:ctrlPr>
            </m:den>
          </m:f>
          <m:nary>
            <m:naryPr>
              <m:limLoc m:val="subSup"/>
              <m:ctrlPr>
                <w:rPr>
                  <w:rFonts w:ascii="Cambria Math" w:hAnsi="Cambria Math"/>
                </w:rPr>
              </m:ctrlPr>
            </m:naryPr>
            <m:sub>
              <m:r>
                <m:rPr>
                  <m:sty m:val="p"/>
                </m:rPr>
                <w:rPr>
                  <w:rFonts w:ascii="Cambria Math" w:hAnsi="Cambria Math"/>
                </w:rPr>
                <m:t>−T/2</m:t>
              </m:r>
              <m:ctrlPr>
                <w:rPr>
                  <w:rFonts w:ascii="Cambria Math" w:hAnsi="Cambria Math"/>
                </w:rPr>
              </m:ctrlPr>
            </m:sub>
            <m:sup>
              <m:r>
                <m:rPr>
                  <m:sty m:val="p"/>
                </m:rPr>
                <w:rPr>
                  <w:rFonts w:ascii="Cambria Math" w:hAnsi="Cambria Math"/>
                </w:rPr>
                <m:t>T/2</m:t>
              </m:r>
              <m:ctrlPr>
                <w:rPr>
                  <w:rFonts w:ascii="Cambria Math" w:hAnsi="Cambria Math"/>
                </w:rPr>
              </m:ctrlPr>
            </m:sup>
            <m:e>
              <m:r>
                <m:rPr>
                  <m:sty m:val="p"/>
                </m:rPr>
                <w:rPr>
                  <w:rFonts w:ascii="Cambria Math" w:hAnsi="Cambria Math"/>
                </w:rPr>
                <m:t>x(t)x(t+τ)dt</m:t>
              </m:r>
              <m:ctrlPr>
                <w:rPr>
                  <w:rFonts w:ascii="Cambria Math" w:hAnsi="Cambria Math"/>
                </w:rPr>
              </m:ctrlPr>
            </m:e>
          </m:nary>
        </m:oMath>
      </m:oMathPara>
    </w:p>
    <w:p w14:paraId="727066CB">
      <w:pPr>
        <w:pStyle w:val="15"/>
        <w:ind w:firstLine="480"/>
      </w:pPr>
      <w:r>
        <w:rPr>
          <w:rFonts w:hint="eastAsia"/>
        </w:rPr>
        <w:t>周期信号的自相关函数是</w:t>
      </w:r>
      <m:oMath>
        <m:r>
          <m:rPr>
            <m:sty m:val="p"/>
          </m:rPr>
          <w:rPr>
            <w:rFonts w:ascii="Cambria Math" w:hAnsi="Cambria Math"/>
          </w:rPr>
          <m:t>τ</m:t>
        </m:r>
      </m:oMath>
      <w:r>
        <w:rPr>
          <w:rFonts w:hint="eastAsia"/>
        </w:rPr>
        <w:t>的周期函数，周期为T。当</w:t>
      </w:r>
      <m:oMath>
        <m:r>
          <m:rPr>
            <m:sty m:val="p"/>
          </m:rPr>
          <w:rPr>
            <w:rFonts w:ascii="Cambria Math" w:hAnsi="Cambria Math"/>
          </w:rPr>
          <m:t>τ=0</m:t>
        </m:r>
      </m:oMath>
      <w:r>
        <w:rPr>
          <w:rFonts w:hint="eastAsia"/>
        </w:rPr>
        <w:t>或T的整数倍时，</w:t>
      </w:r>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rPr>
              <m:t>x</m:t>
            </m:r>
            <m:ctrlPr>
              <w:rPr>
                <w:rFonts w:ascii="Cambria Math" w:hAnsi="Cambria Math"/>
              </w:rPr>
            </m:ctrlPr>
          </m:sub>
        </m:sSub>
        <m:d>
          <m:dPr>
            <m:ctrlPr>
              <w:rPr>
                <w:rFonts w:ascii="Cambria Math" w:hAnsi="Cambria Math"/>
              </w:rPr>
            </m:ctrlPr>
          </m:dPr>
          <m:e>
            <m:r>
              <m:rPr>
                <m:sty m:val="p"/>
              </m:rPr>
              <w:rPr>
                <w:rFonts w:ascii="Cambria Math" w:hAnsi="Cambria Math"/>
              </w:rPr>
              <m:t>τ</m:t>
            </m:r>
            <m:ctrlPr>
              <w:rPr>
                <w:rFonts w:ascii="Cambria Math" w:hAnsi="Cambria Math"/>
              </w:rPr>
            </m:ctrlPr>
          </m:e>
        </m:d>
      </m:oMath>
      <w:r>
        <w:rPr>
          <w:rFonts w:hint="eastAsia"/>
        </w:rPr>
        <w:t>达到最大值。</w:t>
      </w:r>
    </w:p>
    <w:p w14:paraId="36BB727C">
      <w:pPr>
        <w:pStyle w:val="15"/>
        <w:numPr>
          <w:ilvl w:val="0"/>
          <w:numId w:val="24"/>
        </w:numPr>
        <w:ind w:firstLineChars="0"/>
        <w:rPr>
          <w:kern w:val="0"/>
        </w:rPr>
      </w:pPr>
      <w:r>
        <w:rPr>
          <w:rFonts w:hint="eastAsia"/>
          <w:kern w:val="0"/>
        </w:rPr>
        <w:t>概率密度函数</w:t>
      </w:r>
    </w:p>
    <w:p w14:paraId="2411C92F">
      <w:pPr>
        <w:pStyle w:val="15"/>
        <w:ind w:firstLine="480"/>
        <w:rPr>
          <w:rFonts w:ascii="Cambria Math" w:hAnsi="Cambria Math"/>
        </w:rPr>
      </w:pPr>
      <w:r>
        <w:rPr>
          <w:rFonts w:hint="eastAsia" w:ascii="Cambria Math" w:hAnsi="Cambria Math"/>
        </w:rPr>
        <w:t>概率密度函数是指一个随机信号的瞬时值落在指定区间（</w:t>
      </w:r>
      <m:oMath>
        <m:r>
          <m:rPr>
            <m:sty m:val="p"/>
          </m:rPr>
          <w:rPr>
            <w:rFonts w:hint="eastAsia" w:ascii="Cambria Math" w:hAnsi="Cambria Math"/>
          </w:rPr>
          <m:t>x</m:t>
        </m:r>
        <m:r>
          <m:rPr>
            <m:sty m:val="p"/>
          </m:rPr>
          <w:rPr>
            <w:rFonts w:ascii="Cambria Math" w:hAnsi="Cambria Math"/>
          </w:rPr>
          <m:t>,x+∆x</m:t>
        </m:r>
      </m:oMath>
      <w:r>
        <w:rPr>
          <w:rFonts w:hint="eastAsia" w:ascii="Cambria Math" w:hAnsi="Cambria Math"/>
        </w:rPr>
        <w:t>）内的概率对</w:t>
      </w:r>
      <m:oMath>
        <m:r>
          <m:rPr>
            <m:sty m:val="p"/>
          </m:rPr>
          <w:rPr>
            <w:rFonts w:ascii="Cambria Math" w:hAnsi="Cambria Math"/>
          </w:rPr>
          <m:t>∆x</m:t>
        </m:r>
      </m:oMath>
      <w:r>
        <w:rPr>
          <w:rFonts w:hint="eastAsia" w:ascii="Cambria Math" w:hAnsi="Cambria Math"/>
        </w:rPr>
        <w:t>比值的极限值。</w:t>
      </w:r>
    </w:p>
    <w:p w14:paraId="79AB491F">
      <w:pPr>
        <w:pStyle w:val="15"/>
        <w:ind w:firstLine="480"/>
        <w:rPr>
          <w:rFonts w:ascii="Cambria Math" w:hAnsi="Cambria Math"/>
        </w:rPr>
      </w:pPr>
      <w:r>
        <w:rPr>
          <w:rFonts w:hint="eastAsia" w:ascii="Cambria Math" w:hAnsi="Cambria Math"/>
        </w:rPr>
        <w:t>概率密度函数p</w:t>
      </w:r>
      <w:r>
        <w:rPr>
          <w:rFonts w:ascii="Cambria Math" w:hAnsi="Cambria Math"/>
        </w:rPr>
        <w:t>(x)</w:t>
      </w:r>
      <w:r>
        <w:rPr>
          <w:rFonts w:hint="eastAsia" w:ascii="Cambria Math" w:hAnsi="Cambria Math"/>
        </w:rPr>
        <w:t>则定义为：</w:t>
      </w:r>
    </w:p>
    <w:p w14:paraId="66CD0ED6">
      <w:pPr>
        <w:pStyle w:val="15"/>
        <w:ind w:firstLine="480"/>
        <w:rPr>
          <w:rFonts w:ascii="Cambria Math" w:hAnsi="Cambria Math"/>
        </w:rPr>
      </w:pPr>
      <m:oMathPara>
        <m:oMath>
          <m:r>
            <m:rPr>
              <m:sty m:val="p"/>
            </m:rPr>
            <w:rPr>
              <w:rFonts w:hint="eastAsia" w:ascii="Cambria Math" w:hAnsi="Cambria Math"/>
            </w:rPr>
            <m:t>p</m:t>
          </m:r>
          <m:d>
            <m:dPr>
              <m:ctrlPr>
                <w:rPr>
                  <w:rFonts w:ascii="Cambria Math" w:hAnsi="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∆x</m:t>
                  </m:r>
                  <m:r>
                    <m:rPr>
                      <m:sty m:val="p"/>
                    </m:rPr>
                    <w:rPr>
                      <w:rFonts w:hint="eastAsia" w:ascii="Cambria Math" w:hAnsi="Cambria Math"/>
                    </w:rPr>
                    <m:t>→</m:t>
                  </m:r>
                  <m:r>
                    <m:rPr>
                      <m:sty m:val="p"/>
                    </m:rPr>
                    <w:rPr>
                      <w:rFonts w:ascii="Cambria Math" w:hAnsi="Cambria Math"/>
                    </w:rPr>
                    <m:t>0</m:t>
                  </m:r>
                  <m:ctrlPr>
                    <w:rPr>
                      <w:rFonts w:ascii="Cambria Math" w:hAnsi="Cambria Math"/>
                    </w:rPr>
                  </m:ctrlPr>
                </m:lim>
              </m:limLow>
              <m:ctrlPr>
                <w:rPr>
                  <w:rFonts w:ascii="Cambria Math" w:hAnsi="Cambria Math"/>
                </w:rPr>
              </m:ctrlPr>
            </m:fName>
            <m:e>
              <m:f>
                <m:fPr>
                  <m:ctrlPr>
                    <w:rPr>
                      <w:rFonts w:ascii="Cambria Math" w:hAnsi="Cambria Math"/>
                    </w:rPr>
                  </m:ctrlPr>
                </m:fPr>
                <m:num>
                  <m:r>
                    <m:rPr>
                      <m:sty m:val="p"/>
                    </m:rPr>
                    <w:rPr>
                      <w:rFonts w:ascii="Cambria Math" w:hAnsi="Cambria Math"/>
                    </w:rPr>
                    <m:t>P[</m:t>
                  </m:r>
                  <m:r>
                    <m:rPr>
                      <m:sty m:val="p"/>
                    </m:rPr>
                    <w:rPr>
                      <w:rFonts w:hint="eastAsia" w:ascii="Cambria Math" w:hAnsi="Cambria Math"/>
                    </w:rPr>
                    <m:t>x</m:t>
                  </m:r>
                  <m:r>
                    <m:rPr>
                      <m:sty m:val="p"/>
                    </m:rPr>
                    <w:rPr>
                      <w:rFonts w:ascii="Cambria Math" w:hAnsi="Cambria Math"/>
                    </w:rPr>
                    <m:t>&lt;</m:t>
                  </m:r>
                  <m:r>
                    <m:rPr/>
                    <w:rPr>
                      <w:rFonts w:ascii="Cambria Math" w:hAnsi="Cambria Math"/>
                    </w:rPr>
                    <m:t>x(t)≤x+∆x]</m:t>
                  </m:r>
                  <m:ctrlPr>
                    <w:rPr>
                      <w:rFonts w:ascii="Cambria Math" w:hAnsi="Cambria Math"/>
                    </w:rPr>
                  </m:ctrlPr>
                </m:num>
                <m:den>
                  <m:r>
                    <m:rPr>
                      <m:sty m:val="p"/>
                    </m:rPr>
                    <w:rPr>
                      <w:rFonts w:ascii="Cambria Math" w:hAnsi="Cambria Math"/>
                    </w:rPr>
                    <m:t>∆x</m:t>
                  </m:r>
                  <m:ctrlPr>
                    <w:rPr>
                      <w:rFonts w:ascii="Cambria Math" w:hAnsi="Cambria Math"/>
                    </w:rPr>
                  </m:ctrlPr>
                </m:den>
              </m:f>
              <m:ctrlPr>
                <w:rPr>
                  <w:rFonts w:ascii="Cambria Math" w:hAnsi="Cambria Math"/>
                </w:rPr>
              </m:ctrlPr>
            </m:e>
          </m:func>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ctrlPr>
                    <w:rPr>
                      <w:rFonts w:ascii="Cambria Math" w:hAnsi="Cambria Math"/>
                    </w:rPr>
                  </m:ctrlPr>
                </m:e>
                <m:lim>
                  <m:eqArr>
                    <m:eqArrPr>
                      <m:ctrlPr>
                        <w:rPr>
                          <w:rFonts w:ascii="Cambria Math" w:hAnsi="Cambria Math"/>
                        </w:rPr>
                      </m:ctrlPr>
                    </m:eqArrPr>
                    <m:e>
                      <m:r>
                        <m:rPr>
                          <m:sty m:val="p"/>
                        </m:rPr>
                        <w:rPr>
                          <w:rFonts w:ascii="Cambria Math" w:hAnsi="Cambria Math"/>
                        </w:rPr>
                        <m:t>∆x</m:t>
                      </m:r>
                      <m:r>
                        <m:rPr>
                          <m:sty m:val="p"/>
                        </m:rPr>
                        <w:rPr>
                          <w:rFonts w:hint="eastAsia" w:ascii="Cambria Math" w:hAnsi="Cambria Math"/>
                        </w:rPr>
                        <m:t>→</m:t>
                      </m:r>
                      <m:r>
                        <m:rPr>
                          <m:sty m:val="p"/>
                        </m:rPr>
                        <w:rPr>
                          <w:rFonts w:ascii="Cambria Math" w:hAnsi="Cambria Math"/>
                        </w:rPr>
                        <m:t>0</m:t>
                      </m:r>
                      <m:ctrlPr>
                        <w:rPr>
                          <w:rFonts w:ascii="Cambria Math" w:hAnsi="Cambria Math"/>
                        </w:rPr>
                      </m:ctrlPr>
                    </m:e>
                    <m:e>
                      <m:r>
                        <m:rPr>
                          <m:sty m:val="p"/>
                        </m:rPr>
                        <w:rPr>
                          <w:rFonts w:ascii="Cambria Math" w:hAnsi="Cambria Math"/>
                        </w:rPr>
                        <m:t>T</m:t>
                      </m:r>
                      <m:r>
                        <m:rPr>
                          <m:sty m:val="p"/>
                        </m:rPr>
                        <w:rPr>
                          <w:rFonts w:hint="eastAsia" w:ascii="Cambria Math" w:hAnsi="Cambria Math"/>
                        </w:rPr>
                        <m:t>→</m:t>
                      </m:r>
                      <m:r>
                        <m:rPr>
                          <m:sty m:val="p"/>
                        </m:rPr>
                        <w:rPr>
                          <w:rFonts w:ascii="Cambria Math" w:hAnsi="Cambria Math"/>
                        </w:rPr>
                        <m:t>∞</m:t>
                      </m:r>
                      <m:ctrlPr>
                        <w:rPr>
                          <w:rFonts w:ascii="Cambria Math" w:hAnsi="Cambria Math"/>
                        </w:rPr>
                      </m:ctrlPr>
                    </m:e>
                  </m:eqArr>
                  <m:ctrlPr>
                    <w:rPr>
                      <w:rFonts w:ascii="Cambria Math" w:hAnsi="Cambria Math"/>
                    </w:rPr>
                  </m:ctrlPr>
                </m:lim>
              </m:limLow>
              <m:ctrlPr>
                <w:rPr>
                  <w:rFonts w:ascii="Cambria Math" w:hAnsi="Cambria Math"/>
                </w:rPr>
              </m:ctrlPr>
            </m:fName>
            <m:e>
              <m:f>
                <m:fPr>
                  <m:ctrlPr>
                    <w:rPr>
                      <w:rFonts w:ascii="Cambria Math" w:hAnsi="Cambria Math"/>
                    </w:rPr>
                  </m:ctrlPr>
                </m:fPr>
                <m:num>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x</m:t>
                      </m:r>
                      <m:ctrlPr>
                        <w:rPr>
                          <w:rFonts w:ascii="Cambria Math" w:hAnsi="Cambria Math"/>
                        </w:rPr>
                      </m:ctrlPr>
                    </m:sub>
                  </m:sSub>
                  <m:r>
                    <m:rPr>
                      <m:sty m:val="p"/>
                    </m:rPr>
                    <w:rPr>
                      <w:rFonts w:ascii="Cambria Math" w:hAnsi="Cambria Math"/>
                    </w:rPr>
                    <m:t>/T</m:t>
                  </m:r>
                  <m:ctrlPr>
                    <w:rPr>
                      <w:rFonts w:ascii="Cambria Math" w:hAnsi="Cambria Math"/>
                    </w:rPr>
                  </m:ctrlPr>
                </m:num>
                <m:den>
                  <m:r>
                    <m:rPr>
                      <m:sty m:val="p"/>
                    </m:rPr>
                    <w:rPr>
                      <w:rFonts w:ascii="Cambria Math" w:hAnsi="Cambria Math"/>
                    </w:rPr>
                    <m:t>∆x</m:t>
                  </m:r>
                  <m:ctrlPr>
                    <w:rPr>
                      <w:rFonts w:ascii="Cambria Math" w:hAnsi="Cambria Math"/>
                    </w:rPr>
                  </m:ctrlPr>
                </m:den>
              </m:f>
              <m:ctrlPr>
                <w:rPr>
                  <w:rFonts w:ascii="Cambria Math" w:hAnsi="Cambria Math"/>
                </w:rPr>
              </m:ctrlPr>
            </m:e>
          </m:func>
        </m:oMath>
      </m:oMathPara>
    </w:p>
    <w:p w14:paraId="4E1A3924">
      <w:pPr>
        <w:pStyle w:val="15"/>
        <w:ind w:firstLine="480"/>
        <w:rPr>
          <w:rFonts w:ascii="Cambria Math" w:hAnsi="Cambria Math"/>
        </w:rPr>
      </w:pPr>
      <w:r>
        <w:rPr>
          <w:rFonts w:hint="eastAsia" w:ascii="Cambria Math" w:hAnsi="Cambria Math"/>
        </w:rPr>
        <w:t>概率密度函数示意图：</w:t>
      </w:r>
    </w:p>
    <w:p w14:paraId="68FF3B33">
      <w:pPr>
        <w:pStyle w:val="15"/>
        <w:ind w:firstLine="480"/>
        <w:rPr>
          <w:rFonts w:ascii="Cambria Math" w:hAnsi="Cambria Math"/>
        </w:rPr>
      </w:pPr>
      <w:r>
        <w:rPr>
          <w:rFonts w:ascii="Cambria Math" w:hAnsi="Cambria Math"/>
        </w:rPr>
        <w:drawing>
          <wp:inline distT="0" distB="0" distL="0" distR="0">
            <wp:extent cx="3825240" cy="158369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6"/>
                    <a:stretch>
                      <a:fillRect/>
                    </a:stretch>
                  </pic:blipFill>
                  <pic:spPr>
                    <a:xfrm>
                      <a:off x="0" y="0"/>
                      <a:ext cx="3844973" cy="1592289"/>
                    </a:xfrm>
                    <a:prstGeom prst="rect">
                      <a:avLst/>
                    </a:prstGeom>
                  </pic:spPr>
                </pic:pic>
              </a:graphicData>
            </a:graphic>
          </wp:inline>
        </w:drawing>
      </w:r>
    </w:p>
    <w:p w14:paraId="292AA05F">
      <w:pPr>
        <w:pStyle w:val="15"/>
        <w:ind w:firstLine="480"/>
        <w:rPr>
          <w:rFonts w:ascii="Cambria Math" w:hAnsi="Cambria Math"/>
        </w:rPr>
      </w:pPr>
      <w:r>
        <w:rPr>
          <w:rFonts w:hint="eastAsia" w:ascii="Cambria Math" w:hAnsi="Cambria Math"/>
        </w:rPr>
        <w:t>如果概率密度函数f</w:t>
      </w:r>
      <w:r>
        <w:rPr>
          <w:rFonts w:ascii="Cambria Math" w:hAnsi="Cambria Math"/>
        </w:rPr>
        <w:t>(x)</w:t>
      </w:r>
      <w:r>
        <w:rPr>
          <w:rFonts w:hint="eastAsia" w:ascii="Cambria Math" w:hAnsi="Cambria Math"/>
        </w:rPr>
        <w:t>在一点x上连续，那么累计函数可导，并且它的导数：</w:t>
      </w:r>
    </w:p>
    <w:p w14:paraId="48202D07">
      <w:pPr>
        <w:pStyle w:val="15"/>
        <w:ind w:firstLine="480"/>
        <w:rPr>
          <w:rFonts w:ascii="Cambria Math" w:hAnsi="Cambria Math"/>
        </w:rPr>
      </w:pPr>
      <w:r>
        <w:rPr>
          <w:rFonts w:hint="eastAsia" w:ascii="Cambria Math" w:hAnsi="Cambria Math"/>
        </w:rPr>
        <w:t>由于随机变量</w:t>
      </w:r>
      <w:r>
        <w:rPr>
          <w:rFonts w:ascii="Cambria Math" w:hAnsi="Cambria Math"/>
        </w:rPr>
        <w:t>x的取值只取决于概率密度函数的积分，所以概率密度函数在个别</w:t>
      </w:r>
      <w:r>
        <w:rPr>
          <w:rFonts w:hint="eastAsia" w:ascii="Cambria Math" w:hAnsi="Cambria Math"/>
        </w:rPr>
        <w:t>点上的取值并不会影响随机变量的表现。更准确来说，如果一个函数和x</w:t>
      </w:r>
      <w:r>
        <w:rPr>
          <w:rFonts w:ascii="Cambria Math" w:hAnsi="Cambria Math"/>
        </w:rPr>
        <w:t>的概率</w:t>
      </w:r>
      <w:r>
        <w:rPr>
          <w:rFonts w:hint="eastAsia" w:ascii="Cambria Math" w:hAnsi="Cambria Math"/>
        </w:rPr>
        <w:t>密度函数取值不同的点只有有限个、可数无限个或者相对于整个实数轴来说测度为</w:t>
      </w:r>
      <w:r>
        <w:rPr>
          <w:rFonts w:ascii="Cambria Math" w:hAnsi="Cambria Math"/>
        </w:rPr>
        <w:t>0 (是一个零测集)，那么这个函数也可以是x的概率密度函数</w:t>
      </w:r>
      <w:r>
        <w:rPr>
          <w:rFonts w:hint="eastAsia" w:ascii="Cambria Math" w:hAnsi="Cambria Math"/>
        </w:rPr>
        <w:t>。</w:t>
      </w:r>
    </w:p>
    <w:p w14:paraId="44D40582">
      <w:pPr>
        <w:pStyle w:val="15"/>
        <w:numPr>
          <w:ilvl w:val="0"/>
          <w:numId w:val="24"/>
        </w:numPr>
        <w:ind w:firstLineChars="0"/>
        <w:rPr>
          <w:kern w:val="0"/>
        </w:rPr>
      </w:pPr>
      <w:r>
        <w:rPr>
          <w:rFonts w:hint="eastAsia"/>
          <w:kern w:val="0"/>
        </w:rPr>
        <w:t>自功率谱</w:t>
      </w:r>
    </w:p>
    <w:p w14:paraId="082DBC9D">
      <w:pPr>
        <w:pStyle w:val="15"/>
        <w:ind w:firstLine="480"/>
        <w:rPr>
          <w:rFonts w:ascii="Cambria Math" w:hAnsi="Cambria Math"/>
        </w:rPr>
      </w:pPr>
      <w:r>
        <w:rPr>
          <w:rFonts w:hint="eastAsia" w:ascii="Cambria Math" w:hAnsi="Cambria Math"/>
        </w:rPr>
        <w:t>设</w:t>
      </w:r>
      <w:r>
        <w:rPr>
          <w:rFonts w:ascii="Cambria Math" w:hAnsi="Cambria Math"/>
        </w:rPr>
        <w:t>x(t)为一零均值的随机过程，且x(t)中无周期性分量，则其自相关函数</w:t>
      </w:r>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rPr>
              <m:t>x</m:t>
            </m:r>
            <m:ctrlPr>
              <w:rPr>
                <w:rFonts w:ascii="Cambria Math" w:hAnsi="Cambria Math"/>
              </w:rPr>
            </m:ctrlPr>
          </m:sub>
        </m:sSub>
        <m:d>
          <m:dPr>
            <m:ctrlPr>
              <w:rPr>
                <w:rFonts w:ascii="Cambria Math" w:hAnsi="Cambria Math"/>
              </w:rPr>
            </m:ctrlPr>
          </m:dPr>
          <m:e>
            <m:r>
              <m:rPr>
                <m:sty m:val="p"/>
              </m:rPr>
              <w:rPr>
                <w:rFonts w:ascii="Cambria Math" w:hAnsi="Cambria Math"/>
              </w:rPr>
              <m:t>τ</m:t>
            </m:r>
            <m:ctrlPr>
              <w:rPr>
                <w:rFonts w:ascii="Cambria Math" w:hAnsi="Cambria Math"/>
              </w:rPr>
            </m:ctrlPr>
          </m:e>
        </m:d>
      </m:oMath>
      <w:r>
        <w:rPr>
          <w:rFonts w:hint="eastAsia" w:ascii="Cambria Math" w:hAnsi="Cambria Math"/>
        </w:rPr>
        <w:t>在当τ→∞时，有</w:t>
      </w:r>
    </w:p>
    <w:p w14:paraId="353C53D6">
      <w:pPr>
        <w:pStyle w:val="15"/>
        <w:ind w:firstLine="480"/>
        <w:rPr>
          <w:rFonts w:ascii="Cambria Math" w:hAnsi="Cambria Math"/>
        </w:rPr>
      </w:pPr>
      <m:oMathPara>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rPr>
                <m:t>x</m:t>
              </m:r>
              <m:ctrlPr>
                <w:rPr>
                  <w:rFonts w:ascii="Cambria Math" w:hAnsi="Cambria Math"/>
                </w:rPr>
              </m:ctrlPr>
            </m:sub>
          </m:sSub>
          <m:d>
            <m:dPr>
              <m:ctrlPr>
                <w:rPr>
                  <w:rFonts w:ascii="Cambria Math" w:hAnsi="Cambria Math"/>
                </w:rPr>
              </m:ctrlPr>
            </m:dPr>
            <m:e>
              <m:r>
                <m:rPr>
                  <m:sty m:val="p"/>
                </m:rPr>
                <w:rPr>
                  <w:rFonts w:ascii="Cambria Math" w:hAnsi="Cambria Math"/>
                </w:rPr>
                <m:t>τ</m:t>
              </m:r>
              <m:r>
                <m:rPr>
                  <m:sty m:val="p"/>
                </m:rPr>
                <w:rPr>
                  <w:rFonts w:hint="eastAsia" w:ascii="Cambria Math" w:hAnsi="Cambria Math"/>
                </w:rPr>
                <m:t>→</m:t>
              </m:r>
              <m:r>
                <m:rPr>
                  <m:sty m:val="p"/>
                </m:rPr>
                <w:rPr>
                  <w:rFonts w:ascii="Cambria Math" w:hAnsi="Cambria Math"/>
                </w:rPr>
                <m:t>∞</m:t>
              </m:r>
              <m:ctrlPr>
                <w:rPr>
                  <w:rFonts w:ascii="Cambria Math" w:hAnsi="Cambria Math"/>
                </w:rPr>
              </m:ctrlPr>
            </m:e>
          </m:d>
          <m:r>
            <m:rPr>
              <m:sty m:val="p"/>
            </m:rPr>
            <w:rPr>
              <w:rFonts w:hint="eastAsia" w:ascii="Cambria Math" w:hAnsi="Cambria Math"/>
            </w:rPr>
            <m:t>=</m:t>
          </m:r>
          <m:r>
            <m:rPr>
              <m:sty m:val="p"/>
            </m:rPr>
            <w:rPr>
              <w:rFonts w:ascii="Cambria Math" w:hAnsi="Cambria Math"/>
            </w:rPr>
            <m:t>0</m:t>
          </m:r>
        </m:oMath>
      </m:oMathPara>
    </w:p>
    <w:p w14:paraId="049F32A2">
      <w:pPr>
        <w:pStyle w:val="15"/>
        <w:ind w:firstLine="480"/>
        <w:rPr>
          <w:rFonts w:ascii="Cambria Math" w:hAnsi="Cambria Math"/>
        </w:rPr>
      </w:pPr>
      <w:r>
        <w:rPr>
          <w:rFonts w:hint="eastAsia" w:ascii="Cambria Math" w:hAnsi="Cambria Math"/>
        </w:rPr>
        <w:t>该自相关函数</w:t>
      </w:r>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rPr>
              <m:t>x</m:t>
            </m:r>
            <m:ctrlPr>
              <w:rPr>
                <w:rFonts w:ascii="Cambria Math" w:hAnsi="Cambria Math"/>
              </w:rPr>
            </m:ctrlPr>
          </m:sub>
        </m:sSub>
        <m:d>
          <m:dPr>
            <m:ctrlPr>
              <w:rPr>
                <w:rFonts w:ascii="Cambria Math" w:hAnsi="Cambria Math"/>
              </w:rPr>
            </m:ctrlPr>
          </m:dPr>
          <m:e>
            <m:r>
              <m:rPr>
                <m:sty m:val="p"/>
              </m:rPr>
              <w:rPr>
                <w:rFonts w:ascii="Cambria Math" w:hAnsi="Cambria Math"/>
              </w:rPr>
              <m:t>τ</m:t>
            </m:r>
            <m:ctrlPr>
              <w:rPr>
                <w:rFonts w:ascii="Cambria Math" w:hAnsi="Cambria Math"/>
              </w:rPr>
            </m:ctrlPr>
          </m:e>
        </m:d>
      </m:oMath>
      <w:r>
        <w:rPr>
          <w:rFonts w:hint="eastAsia" w:ascii="Cambria Math" w:hAnsi="Cambria Math"/>
        </w:rPr>
        <w:t>满足傅里叶变换的条件</w:t>
      </w:r>
      <m:oMath>
        <m:nary>
          <m:naryPr>
            <m:limLoc m:val="subSup"/>
            <m:ctrlPr>
              <w:rPr>
                <w:rFonts w:ascii="Cambria Math" w:hAnsi="Cambria Math"/>
              </w:rPr>
            </m:ctrlPr>
          </m:naryPr>
          <m:sub>
            <m:r>
              <m:rPr>
                <m:sty m:val="p"/>
              </m:rPr>
              <w:rPr>
                <w:rFonts w:hint="eastAsia" w:ascii="Cambria Math" w:hAnsi="Cambria Math"/>
              </w:rPr>
              <m:t>−</m:t>
            </m:r>
            <m:r>
              <m:rPr>
                <m:sty m:val="p"/>
              </m:rPr>
              <w:rPr>
                <w:rFonts w:ascii="Cambria Math" w:hAnsi="Cambria Math"/>
              </w:rPr>
              <m:t>∞</m:t>
            </m:r>
            <m:ctrlPr>
              <w:rPr>
                <w:rFonts w:ascii="Cambria Math" w:hAnsi="Cambria Math"/>
              </w:rPr>
            </m:ctrlPr>
          </m:sub>
          <m:sup>
            <m:r>
              <m:rPr>
                <m:sty m:val="p"/>
              </m:rPr>
              <w:rPr>
                <w:rFonts w:ascii="Cambria Math" w:hAnsi="Cambria Math"/>
              </w:rPr>
              <m:t>∞</m:t>
            </m:r>
            <m:ctrlPr>
              <w:rPr>
                <w:rFonts w:ascii="Cambria Math" w:hAnsi="Cambria Math"/>
              </w:rPr>
            </m:ctrlPr>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rPr>
                      <m:t>x</m:t>
                    </m:r>
                    <m:ctrlPr>
                      <w:rPr>
                        <w:rFonts w:ascii="Cambria Math" w:hAnsi="Cambria Math"/>
                      </w:rPr>
                    </m:ctrlPr>
                  </m:sub>
                </m:sSub>
                <m:d>
                  <m:dPr>
                    <m:ctrlPr>
                      <w:rPr>
                        <w:rFonts w:ascii="Cambria Math" w:hAnsi="Cambria Math"/>
                      </w:rPr>
                    </m:ctrlPr>
                  </m:dPr>
                  <m:e>
                    <m:r>
                      <m:rPr>
                        <m:sty m:val="p"/>
                      </m:rPr>
                      <w:rPr>
                        <w:rFonts w:ascii="Cambria Math" w:hAnsi="Cambria Math"/>
                      </w:rPr>
                      <m:t>τ</m:t>
                    </m:r>
                    <m:ctrlPr>
                      <w:rPr>
                        <w:rFonts w:ascii="Cambria Math" w:hAnsi="Cambria Math"/>
                      </w:rPr>
                    </m:ctrlPr>
                  </m:e>
                </m:d>
                <m:ctrlPr>
                  <w:rPr>
                    <w:rFonts w:ascii="Cambria Math" w:hAnsi="Cambria Math"/>
                  </w:rPr>
                </m:ctrlPr>
              </m:e>
            </m:d>
            <m:r>
              <m:rPr>
                <m:sty m:val="p"/>
              </m:rPr>
              <w:rPr>
                <w:rFonts w:ascii="Cambria Math" w:hAnsi="Cambria Math"/>
              </w:rPr>
              <m:t>dτ</m:t>
            </m:r>
            <m:r>
              <m:rPr/>
              <w:rPr>
                <w:rFonts w:ascii="Cambria Math" w:hAnsi="Cambria Math"/>
              </w:rPr>
              <m:t>&lt;0</m:t>
            </m:r>
            <m:ctrlPr>
              <w:rPr>
                <w:rFonts w:ascii="Cambria Math" w:hAnsi="Cambria Math"/>
              </w:rPr>
            </m:ctrlPr>
          </m:e>
        </m:nary>
      </m:oMath>
      <w:r>
        <w:rPr>
          <w:rFonts w:hint="eastAsia" w:ascii="Cambria Math" w:hAnsi="Cambria Math"/>
        </w:rPr>
        <w:t>对其作傅里叶变换可得</w:t>
      </w:r>
    </w:p>
    <w:p w14:paraId="7C68EA05">
      <w:pPr>
        <w:pStyle w:val="15"/>
        <w:ind w:firstLine="480"/>
        <w:rPr>
          <w:rFonts w:ascii="Cambria Math" w:hAnsi="Cambria Math"/>
        </w:rPr>
      </w:pPr>
      <m:oMathPara>
        <m:oMath>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x</m:t>
              </m:r>
              <m:ctrlPr>
                <w:rPr>
                  <w:rFonts w:ascii="Cambria Math" w:hAnsi="Cambria Math"/>
                </w:rPr>
              </m:ctrlPr>
            </m:sub>
          </m:sSub>
          <m:d>
            <m:dPr>
              <m:ctrlPr>
                <w:rPr>
                  <w:rFonts w:ascii="Cambria Math" w:hAnsi="Cambria Math"/>
                </w:rPr>
              </m:ctrlPr>
            </m:dPr>
            <m:e>
              <m:r>
                <m:rPr>
                  <m:sty m:val="p"/>
                </m:rPr>
                <w:rPr>
                  <w:rFonts w:ascii="Cambria Math" w:hAnsi="Cambria Math"/>
                </w:rPr>
                <m:t>f</m:t>
              </m:r>
              <m:ctrlPr>
                <w:rPr>
                  <w:rFonts w:ascii="Cambria Math" w:hAnsi="Cambria Math"/>
                </w:rPr>
              </m:ctrlP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ctrlPr>
                <w:rPr>
                  <w:rFonts w:ascii="Cambria Math" w:hAnsi="Cambria Math"/>
                </w:rPr>
              </m:ctrlPr>
            </m:sub>
            <m:sup>
              <m:r>
                <m:rPr>
                  <m:sty m:val="p"/>
                </m:rPr>
                <w:rPr>
                  <w:rFonts w:ascii="Cambria Math" w:hAnsi="Cambria Math"/>
                </w:rPr>
                <m:t>∞</m:t>
              </m:r>
              <m:ctrlPr>
                <w:rPr>
                  <w:rFonts w:ascii="Cambria Math" w:hAnsi="Cambria Math"/>
                </w:rPr>
              </m:ctrlPr>
            </m:sup>
            <m:e>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rPr>
                    <m:t>x</m:t>
                  </m:r>
                  <m:ctrlPr>
                    <w:rPr>
                      <w:rFonts w:ascii="Cambria Math" w:hAnsi="Cambria Math"/>
                    </w:rPr>
                  </m:ctrlPr>
                </m:sub>
              </m:sSub>
              <m:d>
                <m:dPr>
                  <m:ctrlPr>
                    <w:rPr>
                      <w:rFonts w:ascii="Cambria Math" w:hAnsi="Cambria Math"/>
                    </w:rPr>
                  </m:ctrlPr>
                </m:dPr>
                <m:e>
                  <m:r>
                    <m:rPr>
                      <m:sty m:val="p"/>
                    </m:rPr>
                    <w:rPr>
                      <w:rFonts w:ascii="Cambria Math" w:hAnsi="Cambria Math"/>
                    </w:rPr>
                    <m:t>τ</m:t>
                  </m:r>
                  <m:ctrlPr>
                    <w:rPr>
                      <w:rFonts w:ascii="Cambria Math" w:hAnsi="Cambria Math"/>
                    </w:rPr>
                  </m:ctrlPr>
                </m:e>
              </m:d>
              <m:sSup>
                <m:sSupPr>
                  <m:ctrlPr>
                    <w:rPr>
                      <w:rFonts w:ascii="Cambria Math" w:hAnsi="Cambria Math"/>
                    </w:rPr>
                  </m:ctrlPr>
                </m:sSupPr>
                <m:e>
                  <m:r>
                    <m:rPr>
                      <m:sty m:val="p"/>
                    </m:rPr>
                    <w:rPr>
                      <w:rFonts w:ascii="Cambria Math" w:hAnsi="Cambria Math"/>
                    </w:rPr>
                    <m:t>e</m:t>
                  </m:r>
                  <m:ctrlPr>
                    <w:rPr>
                      <w:rFonts w:ascii="Cambria Math" w:hAnsi="Cambria Math"/>
                    </w:rPr>
                  </m:ctrlPr>
                </m:e>
                <m:sup>
                  <m:r>
                    <m:rPr>
                      <m:sty m:val="p"/>
                    </m:rPr>
                    <w:rPr>
                      <w:rFonts w:ascii="Cambria Math" w:hAnsi="Cambria Math"/>
                    </w:rPr>
                    <m:t>−j2</m:t>
                  </m:r>
                  <m:r>
                    <m:rPr>
                      <m:sty m:val="p"/>
                    </m:rPr>
                    <w:rPr>
                      <w:rFonts w:hint="eastAsia" w:ascii="Cambria Math" w:hAnsi="Cambria Math"/>
                    </w:rPr>
                    <m:t>π</m:t>
                  </m:r>
                  <m:r>
                    <m:rPr>
                      <m:sty m:val="p"/>
                    </m:rPr>
                    <w:rPr>
                      <w:rFonts w:ascii="Cambria Math" w:hAnsi="Cambria Math"/>
                    </w:rPr>
                    <m:t>fτ</m:t>
                  </m:r>
                  <m:ctrlPr>
                    <w:rPr>
                      <w:rFonts w:ascii="Cambria Math" w:hAnsi="Cambria Math"/>
                    </w:rPr>
                  </m:ctrlPr>
                </m:sup>
              </m:sSup>
              <m:ctrlPr>
                <w:rPr>
                  <w:rFonts w:ascii="Cambria Math" w:hAnsi="Cambria Math"/>
                </w:rPr>
              </m:ctrlPr>
            </m:e>
          </m:nary>
          <m:r>
            <m:rPr>
              <m:sty m:val="p"/>
            </m:rPr>
            <w:rPr>
              <w:rFonts w:ascii="Cambria Math" w:hAnsi="Cambria Math"/>
            </w:rPr>
            <m:t>dτ</m:t>
          </m:r>
        </m:oMath>
      </m:oMathPara>
    </w:p>
    <w:p w14:paraId="7FB385AC">
      <w:pPr>
        <w:pStyle w:val="15"/>
        <w:ind w:firstLine="480"/>
        <w:rPr>
          <w:rFonts w:ascii="Cambria Math" w:hAnsi="Cambria Math"/>
        </w:rPr>
      </w:pPr>
      <w:r>
        <w:rPr>
          <w:rFonts w:hint="eastAsia" w:ascii="Cambria Math" w:hAnsi="Cambria Math"/>
        </w:rPr>
        <w:t>其逆变化为：</w:t>
      </w:r>
    </w:p>
    <w:p w14:paraId="28DBABCD">
      <w:pPr>
        <w:pStyle w:val="15"/>
        <w:ind w:firstLine="480"/>
        <w:rPr>
          <w:rFonts w:ascii="Cambria Math" w:hAnsi="Cambria Math"/>
        </w:rPr>
      </w:pPr>
      <m:oMathPara>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rPr>
                <m:t>x</m:t>
              </m:r>
              <m:ctrlPr>
                <w:rPr>
                  <w:rFonts w:ascii="Cambria Math" w:hAnsi="Cambria Math"/>
                </w:rPr>
              </m:ctrlPr>
            </m:sub>
          </m:sSub>
          <m:d>
            <m:dPr>
              <m:ctrlPr>
                <w:rPr>
                  <w:rFonts w:ascii="Cambria Math" w:hAnsi="Cambria Math"/>
                </w:rPr>
              </m:ctrlPr>
            </m:dPr>
            <m:e>
              <m:r>
                <m:rPr>
                  <m:sty m:val="p"/>
                </m:rPr>
                <w:rPr>
                  <w:rFonts w:ascii="Cambria Math" w:hAnsi="Cambria Math"/>
                </w:rPr>
                <m:t>τ</m:t>
              </m:r>
              <m:ctrlPr>
                <w:rPr>
                  <w:rFonts w:ascii="Cambria Math" w:hAnsi="Cambria Math"/>
                </w:rPr>
              </m:ctrlP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ctrlPr>
                <w:rPr>
                  <w:rFonts w:ascii="Cambria Math" w:hAnsi="Cambria Math"/>
                </w:rPr>
              </m:ctrlPr>
            </m:sub>
            <m:sup>
              <m:r>
                <m:rPr>
                  <m:sty m:val="p"/>
                </m:rPr>
                <w:rPr>
                  <w:rFonts w:ascii="Cambria Math" w:hAnsi="Cambria Math"/>
                </w:rPr>
                <m:t>∞</m:t>
              </m:r>
              <m:ctrlPr>
                <w:rPr>
                  <w:rFonts w:ascii="Cambria Math" w:hAnsi="Cambria Math"/>
                </w:rPr>
              </m:ctrlPr>
            </m:sup>
            <m:e>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x</m:t>
                  </m:r>
                  <m:ctrlPr>
                    <w:rPr>
                      <w:rFonts w:ascii="Cambria Math" w:hAnsi="Cambria Math"/>
                    </w:rPr>
                  </m:ctrlPr>
                </m:sub>
              </m:sSub>
              <m:d>
                <m:dPr>
                  <m:ctrlPr>
                    <w:rPr>
                      <w:rFonts w:ascii="Cambria Math" w:hAnsi="Cambria Math"/>
                    </w:rPr>
                  </m:ctrlPr>
                </m:dPr>
                <m:e>
                  <m:r>
                    <m:rPr>
                      <m:sty m:val="p"/>
                    </m:rPr>
                    <w:rPr>
                      <w:rFonts w:ascii="Cambria Math" w:hAnsi="Cambria Math"/>
                    </w:rPr>
                    <m:t>f</m:t>
                  </m:r>
                  <m:ctrlPr>
                    <w:rPr>
                      <w:rFonts w:ascii="Cambria Math" w:hAnsi="Cambria Math"/>
                    </w:rPr>
                  </m:ctrlPr>
                </m:e>
              </m:d>
              <m:sSup>
                <m:sSupPr>
                  <m:ctrlPr>
                    <w:rPr>
                      <w:rFonts w:ascii="Cambria Math" w:hAnsi="Cambria Math"/>
                    </w:rPr>
                  </m:ctrlPr>
                </m:sSupPr>
                <m:e>
                  <m:r>
                    <m:rPr>
                      <m:sty m:val="p"/>
                    </m:rPr>
                    <w:rPr>
                      <w:rFonts w:ascii="Cambria Math" w:hAnsi="Cambria Math"/>
                    </w:rPr>
                    <m:t>e</m:t>
                  </m:r>
                  <m:ctrlPr>
                    <w:rPr>
                      <w:rFonts w:ascii="Cambria Math" w:hAnsi="Cambria Math"/>
                    </w:rPr>
                  </m:ctrlPr>
                </m:e>
                <m:sup>
                  <m:r>
                    <m:rPr>
                      <m:sty m:val="p"/>
                    </m:rPr>
                    <w:rPr>
                      <w:rFonts w:ascii="Cambria Math" w:hAnsi="Cambria Math"/>
                    </w:rPr>
                    <m:t>−j2</m:t>
                  </m:r>
                  <m:r>
                    <m:rPr>
                      <m:sty m:val="p"/>
                    </m:rPr>
                    <w:rPr>
                      <w:rFonts w:hint="eastAsia" w:ascii="Cambria Math" w:hAnsi="Cambria Math"/>
                    </w:rPr>
                    <m:t>π</m:t>
                  </m:r>
                  <m:r>
                    <m:rPr>
                      <m:sty m:val="p"/>
                    </m:rPr>
                    <w:rPr>
                      <w:rFonts w:ascii="Cambria Math" w:hAnsi="Cambria Math"/>
                    </w:rPr>
                    <m:t>fτ</m:t>
                  </m:r>
                  <m:ctrlPr>
                    <w:rPr>
                      <w:rFonts w:ascii="Cambria Math" w:hAnsi="Cambria Math"/>
                    </w:rPr>
                  </m:ctrlPr>
                </m:sup>
              </m:sSup>
              <m:ctrlPr>
                <w:rPr>
                  <w:rFonts w:ascii="Cambria Math" w:hAnsi="Cambria Math"/>
                </w:rPr>
              </m:ctrlPr>
            </m:e>
          </m:nary>
          <m:r>
            <m:rPr>
              <m:sty m:val="p"/>
            </m:rPr>
            <w:rPr>
              <w:rFonts w:ascii="Cambria Math" w:hAnsi="Cambria Math"/>
            </w:rPr>
            <m:t>df</m:t>
          </m:r>
        </m:oMath>
      </m:oMathPara>
    </w:p>
    <w:p w14:paraId="60657CC9">
      <w:pPr>
        <w:pStyle w:val="15"/>
        <w:ind w:firstLine="480"/>
        <w:rPr>
          <w:rFonts w:ascii="Cambria Math" w:hAnsi="Cambria Math"/>
        </w:rPr>
      </w:pPr>
      <m:oMath>
        <m:sSub>
          <w:bookmarkStart w:id="4" w:name="_Hlk69551566"/>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x</m:t>
            </m:r>
            <m:ctrlPr>
              <w:rPr>
                <w:rFonts w:ascii="Cambria Math" w:hAnsi="Cambria Math"/>
              </w:rPr>
            </m:ctrlPr>
          </m:sub>
        </m:sSub>
        <m:d>
          <m:dPr>
            <m:ctrlPr>
              <w:rPr>
                <w:rFonts w:ascii="Cambria Math" w:hAnsi="Cambria Math"/>
              </w:rPr>
            </m:ctrlPr>
          </m:dPr>
          <m:e>
            <m:r>
              <m:rPr>
                <m:sty m:val="p"/>
              </m:rPr>
              <w:rPr>
                <w:rFonts w:ascii="Cambria Math" w:hAnsi="Cambria Math"/>
              </w:rPr>
              <m:t>f</m:t>
            </m:r>
            <m:ctrlPr>
              <w:rPr>
                <w:rFonts w:ascii="Cambria Math" w:hAnsi="Cambria Math"/>
              </w:rPr>
            </m:ctrlPr>
            <w:bookmarkEnd w:id="4"/>
          </m:e>
        </m:d>
      </m:oMath>
      <w:r>
        <w:rPr>
          <w:rFonts w:hint="eastAsia" w:ascii="Cambria Math" w:hAnsi="Cambria Math"/>
        </w:rPr>
        <w:t>为x</w:t>
      </w:r>
      <w:r>
        <w:rPr>
          <w:rFonts w:ascii="Cambria Math" w:hAnsi="Cambria Math"/>
        </w:rPr>
        <w:t>(t)</w:t>
      </w:r>
      <w:r>
        <w:rPr>
          <w:rFonts w:hint="eastAsia" w:ascii="Cambria Math" w:hAnsi="Cambria Math"/>
        </w:rPr>
        <w:t xml:space="preserve"> 的自功率谱密度函数，简称自谱或功率谱。</w:t>
      </w:r>
    </w:p>
    <w:p w14:paraId="2295EBB6">
      <w:pPr>
        <w:pStyle w:val="15"/>
        <w:ind w:firstLine="480"/>
        <w:rPr>
          <w:rFonts w:ascii="Cambria Math" w:hAnsi="Cambria Math"/>
        </w:rPr>
      </w:pPr>
      <w:r>
        <w:rPr>
          <w:rFonts w:hint="eastAsia" w:ascii="Cambria Math" w:hAnsi="Cambria Math"/>
        </w:rPr>
        <w:t>功率谱</w:t>
      </w:r>
      <m:oMath>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x</m:t>
            </m:r>
            <m:ctrlPr>
              <w:rPr>
                <w:rFonts w:ascii="Cambria Math" w:hAnsi="Cambria Math"/>
              </w:rPr>
            </m:ctrlPr>
          </m:sub>
        </m:sSub>
        <m:d>
          <m:dPr>
            <m:ctrlPr>
              <w:rPr>
                <w:rFonts w:ascii="Cambria Math" w:hAnsi="Cambria Math"/>
              </w:rPr>
            </m:ctrlPr>
          </m:dPr>
          <m:e>
            <m:r>
              <m:rPr>
                <m:sty m:val="p"/>
              </m:rPr>
              <w:rPr>
                <w:rFonts w:ascii="Cambria Math" w:hAnsi="Cambria Math"/>
              </w:rPr>
              <m:t>f</m:t>
            </m:r>
            <m:ctrlPr>
              <w:rPr>
                <w:rFonts w:ascii="Cambria Math" w:hAnsi="Cambria Math"/>
              </w:rPr>
            </m:ctrlPr>
          </m:e>
        </m:d>
      </m:oMath>
      <w:r>
        <w:rPr>
          <w:rFonts w:hint="eastAsia" w:ascii="Cambria Math" w:hAnsi="Cambria Math"/>
        </w:rPr>
        <w:t>自相关函数</w:t>
      </w:r>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rPr>
              <m:t>x</m:t>
            </m:r>
            <m:ctrlPr>
              <w:rPr>
                <w:rFonts w:ascii="Cambria Math" w:hAnsi="Cambria Math"/>
              </w:rPr>
            </m:ctrlPr>
          </m:sub>
        </m:sSub>
        <m:d>
          <m:dPr>
            <m:ctrlPr>
              <w:rPr>
                <w:rFonts w:ascii="Cambria Math" w:hAnsi="Cambria Math"/>
              </w:rPr>
            </m:ctrlPr>
          </m:dPr>
          <m:e>
            <m:r>
              <m:rPr>
                <m:sty m:val="p"/>
              </m:rPr>
              <w:rPr>
                <w:rFonts w:ascii="Cambria Math" w:hAnsi="Cambria Math"/>
              </w:rPr>
              <m:t>τ</m:t>
            </m:r>
            <m:ctrlPr>
              <w:rPr>
                <w:rFonts w:ascii="Cambria Math" w:hAnsi="Cambria Math"/>
              </w:rPr>
            </m:ctrlPr>
          </m:e>
        </m:d>
      </m:oMath>
      <w:r>
        <w:rPr>
          <w:rFonts w:hint="eastAsia" w:ascii="Cambria Math" w:hAnsi="Cambria Math"/>
        </w:rPr>
        <w:t>之间是傅里叶变化对的关系。</w:t>
      </w:r>
    </w:p>
    <w:p w14:paraId="7CDD7160">
      <w:pPr>
        <w:pStyle w:val="15"/>
        <w:numPr>
          <w:ilvl w:val="0"/>
          <w:numId w:val="25"/>
        </w:numPr>
        <w:ind w:left="1134" w:firstLineChars="0"/>
        <w:rPr>
          <w:iCs/>
        </w:rPr>
      </w:pPr>
      <w:r>
        <w:rPr>
          <w:rFonts w:hint="eastAsia"/>
          <w:iCs/>
        </w:rPr>
        <w:t>当随机信号均值为零时，自相关函数和自功率谱密度函数互为傅里叶变换对。</w:t>
      </w:r>
    </w:p>
    <w:p w14:paraId="1C4AB5AD">
      <w:pPr>
        <w:pStyle w:val="15"/>
        <w:numPr>
          <w:ilvl w:val="0"/>
          <w:numId w:val="25"/>
        </w:numPr>
        <w:ind w:left="1134" w:firstLineChars="0"/>
        <w:rPr>
          <w:iCs/>
        </w:rPr>
      </w:pPr>
      <w:r>
        <w:rPr>
          <w:rFonts w:hint="eastAsia"/>
          <w:iCs/>
        </w:rPr>
        <w:t>自功率谱密度有明确的物理含义：当</w:t>
      </w:r>
      <m:oMath>
        <m:r>
          <m:rPr>
            <m:sty m:val="p"/>
          </m:rPr>
          <w:rPr>
            <w:rFonts w:ascii="Cambria Math" w:hAnsi="Cambria Math"/>
          </w:rPr>
          <m:t>τ</m:t>
        </m:r>
        <m:r>
          <m:rPr>
            <m:sty m:val="p"/>
          </m:rPr>
          <w:rPr>
            <w:rFonts w:hint="eastAsia" w:ascii="Cambria Math" w:hAnsi="Cambria Math"/>
          </w:rPr>
          <m:t>=</m:t>
        </m:r>
        <m:r>
          <m:rPr>
            <m:sty m:val="p"/>
          </m:rPr>
          <w:rPr>
            <w:rFonts w:ascii="Cambria Math" w:hAnsi="Cambria Math"/>
          </w:rPr>
          <m:t>0</m:t>
        </m:r>
      </m:oMath>
      <w:r>
        <w:rPr>
          <w:rFonts w:hint="eastAsia"/>
          <w:iCs/>
        </w:rPr>
        <w:t>时，</w:t>
      </w:r>
      <m:oMath>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x</m:t>
            </m:r>
            <m:ctrlPr>
              <w:rPr>
                <w:rFonts w:ascii="Cambria Math" w:hAnsi="Cambria Math"/>
                <w:iCs/>
              </w:rPr>
            </m:ctrlPr>
          </m:sub>
        </m:sSub>
        <m:d>
          <m:dPr>
            <m:ctrlPr>
              <w:rPr>
                <w:rFonts w:ascii="Cambria Math" w:hAnsi="Cambria Math"/>
                <w:iCs/>
              </w:rPr>
            </m:ctrlPr>
          </m:dPr>
          <m:e>
            <m:r>
              <m:rPr>
                <m:sty m:val="p"/>
              </m:rPr>
              <w:rPr>
                <w:rFonts w:ascii="Cambria Math" w:hAnsi="Cambria Math"/>
              </w:rPr>
              <m:t>f</m:t>
            </m:r>
            <m:ctrlPr>
              <w:rPr>
                <w:rFonts w:ascii="Cambria Math" w:hAnsi="Cambria Math"/>
                <w:iCs/>
              </w:rPr>
            </m:ctrlPr>
          </m:e>
        </m:d>
      </m:oMath>
      <w:r>
        <w:rPr>
          <w:rFonts w:hint="eastAsia"/>
          <w:iCs/>
        </w:rPr>
        <w:t>曲线与频率轴f所包围的面积就是信号的平均功率。另外，</w:t>
      </w:r>
      <m:oMath>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x</m:t>
            </m:r>
            <m:ctrlPr>
              <w:rPr>
                <w:rFonts w:ascii="Cambria Math" w:hAnsi="Cambria Math"/>
                <w:iCs/>
              </w:rPr>
            </m:ctrlPr>
          </m:sub>
        </m:sSub>
        <m:d>
          <m:dPr>
            <m:ctrlPr>
              <w:rPr>
                <w:rFonts w:ascii="Cambria Math" w:hAnsi="Cambria Math"/>
                <w:iCs/>
              </w:rPr>
            </m:ctrlPr>
          </m:dPr>
          <m:e>
            <m:r>
              <m:rPr>
                <m:sty m:val="p"/>
              </m:rPr>
              <w:rPr>
                <w:rFonts w:ascii="Cambria Math" w:hAnsi="Cambria Math"/>
              </w:rPr>
              <m:t>f</m:t>
            </m:r>
            <m:ctrlPr>
              <w:rPr>
                <w:rFonts w:ascii="Cambria Math" w:hAnsi="Cambria Math"/>
                <w:iCs/>
              </w:rPr>
            </m:ctrlPr>
          </m:e>
        </m:d>
      </m:oMath>
      <w:r>
        <w:rPr>
          <w:rFonts w:hint="eastAsia"/>
          <w:iCs/>
        </w:rPr>
        <w:t>还表明了信号的功率密度沿频率轴的分布状况，因此称</w:t>
      </w:r>
      <m:oMath>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x</m:t>
            </m:r>
            <m:ctrlPr>
              <w:rPr>
                <w:rFonts w:ascii="Cambria Math" w:hAnsi="Cambria Math"/>
                <w:iCs/>
              </w:rPr>
            </m:ctrlPr>
          </m:sub>
        </m:sSub>
        <m:d>
          <m:dPr>
            <m:ctrlPr>
              <w:rPr>
                <w:rFonts w:ascii="Cambria Math" w:hAnsi="Cambria Math"/>
                <w:iCs/>
              </w:rPr>
            </m:ctrlPr>
          </m:dPr>
          <m:e>
            <m:r>
              <m:rPr>
                <m:sty m:val="p"/>
              </m:rPr>
              <w:rPr>
                <w:rFonts w:ascii="Cambria Math" w:hAnsi="Cambria Math"/>
              </w:rPr>
              <m:t>f</m:t>
            </m:r>
            <m:ctrlPr>
              <w:rPr>
                <w:rFonts w:ascii="Cambria Math" w:hAnsi="Cambria Math"/>
                <w:iCs/>
              </w:rPr>
            </m:ctrlPr>
          </m:e>
        </m:d>
      </m:oMath>
      <w:r>
        <w:rPr>
          <w:rFonts w:hint="eastAsia"/>
          <w:iCs/>
        </w:rPr>
        <w:t>为自功率谱密度函数。</w:t>
      </w:r>
    </w:p>
    <w:p w14:paraId="46227130">
      <w:pPr>
        <w:pStyle w:val="15"/>
        <w:numPr>
          <w:ilvl w:val="0"/>
          <w:numId w:val="24"/>
        </w:numPr>
        <w:ind w:firstLineChars="0"/>
        <w:rPr>
          <w:kern w:val="0"/>
        </w:rPr>
      </w:pPr>
      <w:r>
        <w:rPr>
          <w:rFonts w:hint="eastAsia"/>
          <w:kern w:val="0"/>
        </w:rPr>
        <w:t>互相关分析</w:t>
      </w:r>
    </w:p>
    <w:p w14:paraId="202B6D8F">
      <w:pPr>
        <w:pStyle w:val="15"/>
        <w:ind w:firstLine="480"/>
        <w:rPr>
          <w:rFonts w:ascii="Cambria Math" w:hAnsi="Cambria Math"/>
        </w:rPr>
      </w:pPr>
      <w:r>
        <w:rPr>
          <w:rFonts w:hint="eastAsia" w:ascii="Cambria Math" w:hAnsi="Cambria Math"/>
        </w:rPr>
        <w:t>对于各态历经过程， 时间变量x</w:t>
      </w:r>
      <w:r>
        <w:rPr>
          <w:rFonts w:ascii="Cambria Math" w:hAnsi="Cambria Math"/>
        </w:rPr>
        <w:t>(t)</w:t>
      </w:r>
      <w:r>
        <w:rPr>
          <w:rFonts w:hint="eastAsia" w:ascii="Cambria Math" w:hAnsi="Cambria Math"/>
        </w:rPr>
        <w:t>与y</w:t>
      </w:r>
      <w:r>
        <w:rPr>
          <w:rFonts w:ascii="Cambria Math" w:hAnsi="Cambria Math"/>
        </w:rPr>
        <w:t>(t)</w:t>
      </w:r>
      <w:r>
        <w:rPr>
          <w:rFonts w:hint="eastAsia" w:ascii="Cambria Math" w:hAnsi="Cambria Math"/>
        </w:rPr>
        <w:t>的互协方差函数为：</w:t>
      </w:r>
    </w:p>
    <w:p w14:paraId="043BEBAF">
      <w:pPr>
        <w:pStyle w:val="15"/>
        <w:ind w:firstLine="480"/>
        <w:rPr>
          <w:rFonts w:ascii="Cambria Math" w:hAnsi="Cambria Math"/>
        </w:rPr>
      </w:pPr>
      <m:oMathPara>
        <m:oMath>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xy</m:t>
              </m:r>
              <m:ctrlPr>
                <w:rPr>
                  <w:rFonts w:ascii="Cambria Math" w:hAnsi="Cambria Math"/>
                </w:rPr>
              </m:ctrlPr>
            </m:sub>
          </m:sSub>
          <m:d>
            <m:dPr>
              <m:ctrlPr>
                <w:rPr>
                  <w:rFonts w:ascii="Cambria Math" w:hAnsi="Cambria Math"/>
                </w:rPr>
              </m:ctrlPr>
            </m:dPr>
            <m:e>
              <m:r>
                <m:rPr>
                  <m:sty m:val="p"/>
                </m:rPr>
                <w:rPr>
                  <w:rFonts w:ascii="Cambria Math" w:hAnsi="Cambria Math"/>
                </w:rPr>
                <m:t>τ</m:t>
              </m:r>
              <m:ctrlPr>
                <w:rPr>
                  <w:rFonts w:ascii="Cambria Math" w:hAnsi="Cambria Math"/>
                </w:rPr>
              </m:ctrlPr>
            </m:e>
          </m:d>
          <m:r>
            <m:rPr>
              <m:sty m:val="p"/>
            </m:rPr>
            <w:rPr>
              <w:rFonts w:ascii="Cambria Math" w:hAnsi="Cambria Math"/>
            </w:rPr>
            <m:t>=E[{x</m:t>
          </m:r>
          <m:d>
            <m:dPr>
              <m:ctrlPr>
                <w:rPr>
                  <w:rFonts w:ascii="Cambria Math" w:hAnsi="Cambria Math"/>
                </w:rPr>
              </m:ctrlPr>
            </m:dPr>
            <m:e>
              <m:r>
                <m:rPr>
                  <m:sty m:val="p"/>
                </m:rPr>
                <w:rPr>
                  <w:rFonts w:ascii="Cambria Math" w:hAnsi="Cambria Math"/>
                </w:rPr>
                <m:t>t</m:t>
              </m:r>
              <m:ctrlPr>
                <w:rPr>
                  <w:rFonts w:ascii="Cambria Math" w:hAnsi="Cambria Math"/>
                </w:rPr>
              </m:ctrlPr>
            </m:e>
          </m:d>
          <m:r>
            <m:rPr>
              <m:sty m:val="p"/>
            </m:rPr>
            <w:rPr>
              <w:rFonts w:ascii="Cambria Math" w:hAnsi="Cambria Math"/>
            </w:rPr>
            <m:t>−</m:t>
          </m:r>
          <m:sSub>
            <m:sSubPr>
              <m:ctrlPr>
                <w:rPr>
                  <w:rFonts w:ascii="Cambria Math" w:hAnsi="Cambria Math"/>
                </w:rPr>
              </m:ctrlPr>
            </m:sSubPr>
            <m:e>
              <m:r>
                <m:rPr>
                  <m:sty m:val="p"/>
                </m:rPr>
                <w:rPr>
                  <w:rFonts w:ascii="Cambria Math" w:hAnsi="Cambria Math"/>
                </w:rPr>
                <m:t>μ</m:t>
              </m:r>
              <m:ctrlPr>
                <w:rPr>
                  <w:rFonts w:ascii="Cambria Math" w:hAnsi="Cambria Math"/>
                </w:rPr>
              </m:ctrlPr>
            </m:e>
            <m:sub>
              <m:r>
                <m:rPr>
                  <m:sty m:val="p"/>
                </m:rPr>
                <w:rPr>
                  <w:rFonts w:ascii="Cambria Math" w:hAnsi="Cambria Math"/>
                </w:rPr>
                <m:t>x</m:t>
              </m:r>
              <m:ctrlPr>
                <w:rPr>
                  <w:rFonts w:ascii="Cambria Math" w:hAnsi="Cambria Math"/>
                </w:rPr>
              </m:ctrlPr>
            </m:sub>
          </m:sSub>
          <m:r>
            <m:rPr>
              <m:sty m:val="p"/>
            </m:rPr>
            <w:rPr>
              <w:rFonts w:ascii="Cambria Math" w:hAnsi="Cambria Math"/>
            </w:rPr>
            <m:t>}{y</m:t>
          </m:r>
          <m:d>
            <m:dPr>
              <m:ctrlPr>
                <w:rPr>
                  <w:rFonts w:ascii="Cambria Math" w:hAnsi="Cambria Math"/>
                </w:rPr>
              </m:ctrlPr>
            </m:dPr>
            <m:e>
              <m:r>
                <m:rPr>
                  <m:sty m:val="p"/>
                </m:rPr>
                <w:rPr>
                  <w:rFonts w:ascii="Cambria Math" w:hAnsi="Cambria Math"/>
                </w:rPr>
                <m:t>t+τ</m:t>
              </m:r>
              <m:ctrlPr>
                <w:rPr>
                  <w:rFonts w:ascii="Cambria Math" w:hAnsi="Cambria Math"/>
                </w:rPr>
              </m:ctrlPr>
            </m:e>
          </m:d>
          <m:r>
            <m:rPr>
              <m:sty m:val="p"/>
            </m:rPr>
            <w:rPr>
              <w:rFonts w:ascii="Cambria Math" w:hAnsi="Cambria Math"/>
            </w:rPr>
            <m:t>−</m:t>
          </m:r>
          <m:sSub>
            <m:sSubPr>
              <m:ctrlPr>
                <w:rPr>
                  <w:rFonts w:ascii="Cambria Math" w:hAnsi="Cambria Math"/>
                </w:rPr>
              </m:ctrlPr>
            </m:sSubPr>
            <m:e>
              <m:r>
                <m:rPr>
                  <m:sty m:val="p"/>
                </m:rPr>
                <w:rPr>
                  <w:rFonts w:ascii="Cambria Math" w:hAnsi="Cambria Math"/>
                </w:rPr>
                <m:t>μ</m:t>
              </m:r>
              <m:ctrlPr>
                <w:rPr>
                  <w:rFonts w:ascii="Cambria Math" w:hAnsi="Cambria Math"/>
                </w:rPr>
              </m:ctrlPr>
            </m:e>
            <m:sub>
              <m:r>
                <m:rPr>
                  <m:sty m:val="p"/>
                </m:rPr>
                <w:rPr>
                  <w:rFonts w:ascii="Cambria Math" w:hAnsi="Cambria Math"/>
                </w:rPr>
                <m:t>y</m:t>
              </m:r>
              <m:ctrlPr>
                <w:rPr>
                  <w:rFonts w:ascii="Cambria Math" w:hAnsi="Cambria Math"/>
                </w:rPr>
              </m:ctrlPr>
            </m:sub>
          </m:sSub>
          <m:r>
            <m:rPr>
              <m:sty m:val="p"/>
            </m:rPr>
            <w:rPr>
              <w:rFonts w:ascii="Cambria Math" w:hAnsi="Cambria Math"/>
            </w:rPr>
            <m:t>}]</m:t>
          </m:r>
        </m:oMath>
      </m:oMathPara>
    </w:p>
    <w:p w14:paraId="7F56E9C2">
      <w:pPr>
        <w:pStyle w:val="15"/>
        <w:ind w:firstLine="480"/>
        <w:rPr>
          <w:rFonts w:ascii="Cambria Math" w:hAnsi="Cambria Math"/>
        </w:rPr>
      </w:pPr>
      <m:oMathPara>
        <m:oMathParaPr>
          <m:jc m:val="center"/>
        </m:oMathParaP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T</m:t>
                  </m:r>
                  <m:r>
                    <m:rPr>
                      <m:sty m:val="p"/>
                    </m:rPr>
                    <w:rPr>
                      <w:rFonts w:hint="eastAsia" w:ascii="Cambria Math" w:hAnsi="Cambria Math"/>
                    </w:rPr>
                    <m:t>→</m:t>
                  </m:r>
                  <m:r>
                    <m:rPr>
                      <m:sty m:val="p"/>
                    </m:rPr>
                    <w:rPr>
                      <w:rFonts w:ascii="Cambria Math" w:hAnsi="Cambria Math"/>
                    </w:rPr>
                    <m:t>∞</m:t>
                  </m:r>
                  <m:ctrlPr>
                    <w:rPr>
                      <w:rFonts w:ascii="Cambria Math" w:hAnsi="Cambria Math"/>
                    </w:rPr>
                  </m:ctrlPr>
                </m:lim>
              </m:limLow>
              <m:ctrlPr>
                <w:rPr>
                  <w:rFonts w:ascii="Cambria Math" w:hAnsi="Cambria Math"/>
                </w:rPr>
              </m:ctrlPr>
            </m:fName>
            <m:e>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T</m:t>
                  </m:r>
                  <m:ctrlPr>
                    <w:rPr>
                      <w:rFonts w:ascii="Cambria Math" w:hAnsi="Cambria Math"/>
                    </w:rPr>
                  </m:ctrlPr>
                </m:den>
              </m:f>
              <m:ctrlPr>
                <w:rPr>
                  <w:rFonts w:ascii="Cambria Math" w:hAnsi="Cambria Math"/>
                </w:rPr>
              </m:ctrlPr>
            </m:e>
          </m:func>
          <m:nary>
            <m:naryPr>
              <m:limLoc m:val="subSup"/>
              <m:ctrlPr>
                <w:rPr>
                  <w:rFonts w:ascii="Cambria Math" w:hAnsi="Cambria Math"/>
                </w:rPr>
              </m:ctrlPr>
            </m:naryPr>
            <m:sub>
              <m:r>
                <m:rPr>
                  <m:sty m:val="p"/>
                </m:rPr>
                <w:rPr>
                  <w:rFonts w:ascii="Cambria Math" w:hAnsi="Cambria Math"/>
                </w:rPr>
                <m:t>0</m:t>
              </m:r>
              <m:ctrlPr>
                <w:rPr>
                  <w:rFonts w:ascii="Cambria Math" w:hAnsi="Cambria Math"/>
                </w:rPr>
              </m:ctrlPr>
            </m:sub>
            <m:sup>
              <m:r>
                <m:rPr>
                  <m:sty m:val="p"/>
                </m:rPr>
                <w:rPr>
                  <w:rFonts w:ascii="Cambria Math" w:hAnsi="Cambria Math"/>
                </w:rPr>
                <m:t>T</m:t>
              </m:r>
              <m:ctrlPr>
                <w:rPr>
                  <w:rFonts w:ascii="Cambria Math" w:hAnsi="Cambria Math"/>
                </w:rPr>
              </m:ctrlPr>
            </m:sup>
            <m:e>
              <m:d>
                <m:dPr>
                  <m:begChr m:val="{"/>
                  <m:endChr m:val="}"/>
                  <m:ctrlPr>
                    <w:rPr>
                      <w:rFonts w:ascii="Cambria Math" w:hAnsi="Cambria Math"/>
                    </w:rPr>
                  </m:ctrlPr>
                </m:dPr>
                <m:e>
                  <m:r>
                    <m:rPr>
                      <m:sty m:val="p"/>
                    </m:rPr>
                    <w:rPr>
                      <w:rFonts w:ascii="Cambria Math" w:hAnsi="Cambria Math"/>
                    </w:rPr>
                    <m:t>x</m:t>
                  </m:r>
                  <m:d>
                    <m:dPr>
                      <m:ctrlPr>
                        <w:rPr>
                          <w:rFonts w:ascii="Cambria Math" w:hAnsi="Cambria Math"/>
                        </w:rPr>
                      </m:ctrlPr>
                    </m:dPr>
                    <m:e>
                      <m:r>
                        <m:rPr>
                          <m:sty m:val="p"/>
                        </m:rPr>
                        <w:rPr>
                          <w:rFonts w:ascii="Cambria Math" w:hAnsi="Cambria Math"/>
                        </w:rPr>
                        <m:t>t</m:t>
                      </m:r>
                      <m:ctrlPr>
                        <w:rPr>
                          <w:rFonts w:ascii="Cambria Math" w:hAnsi="Cambria Math"/>
                        </w:rPr>
                      </m:ctrlPr>
                    </m:e>
                  </m:d>
                  <m:r>
                    <m:rPr>
                      <m:sty m:val="p"/>
                    </m:rPr>
                    <w:rPr>
                      <w:rFonts w:ascii="Cambria Math" w:hAnsi="Cambria Math"/>
                    </w:rPr>
                    <m:t>−</m:t>
                  </m:r>
                  <m:sSub>
                    <m:sSubPr>
                      <m:ctrlPr>
                        <w:rPr>
                          <w:rFonts w:ascii="Cambria Math" w:hAnsi="Cambria Math"/>
                        </w:rPr>
                      </m:ctrlPr>
                    </m:sSubPr>
                    <m:e>
                      <m:r>
                        <m:rPr>
                          <m:sty m:val="p"/>
                        </m:rPr>
                        <w:rPr>
                          <w:rFonts w:ascii="Cambria Math" w:hAnsi="Cambria Math"/>
                        </w:rPr>
                        <m:t>μ</m:t>
                      </m:r>
                      <m:ctrlPr>
                        <w:rPr>
                          <w:rFonts w:ascii="Cambria Math" w:hAnsi="Cambria Math"/>
                        </w:rPr>
                      </m:ctrlPr>
                    </m:e>
                    <m:sub>
                      <m:r>
                        <m:rPr>
                          <m:sty m:val="p"/>
                        </m:rPr>
                        <w:rPr>
                          <w:rFonts w:ascii="Cambria Math" w:hAnsi="Cambria Math"/>
                        </w:rPr>
                        <m:t>x</m:t>
                      </m:r>
                      <m:ctrlPr>
                        <w:rPr>
                          <w:rFonts w:ascii="Cambria Math" w:hAnsi="Cambria Math"/>
                        </w:rPr>
                      </m:ctrlPr>
                    </m:sub>
                  </m:sSub>
                  <m:ctrlPr>
                    <w:rPr>
                      <w:rFonts w:ascii="Cambria Math" w:hAnsi="Cambria Math"/>
                    </w:rPr>
                  </m:ctrlPr>
                </m:e>
              </m:d>
              <m:r>
                <m:rPr>
                  <m:sty m:val="p"/>
                </m:rPr>
                <w:rPr>
                  <w:rFonts w:ascii="Cambria Math" w:hAnsi="Cambria Math"/>
                </w:rPr>
                <m:t>{y</m:t>
              </m:r>
              <m:d>
                <m:dPr>
                  <m:ctrlPr>
                    <w:rPr>
                      <w:rFonts w:ascii="Cambria Math" w:hAnsi="Cambria Math"/>
                    </w:rPr>
                  </m:ctrlPr>
                </m:dPr>
                <m:e>
                  <m:r>
                    <m:rPr>
                      <m:sty m:val="p"/>
                    </m:rPr>
                    <w:rPr>
                      <w:rFonts w:ascii="Cambria Math" w:hAnsi="Cambria Math"/>
                    </w:rPr>
                    <m:t>t+τ</m:t>
                  </m:r>
                  <m:ctrlPr>
                    <w:rPr>
                      <w:rFonts w:ascii="Cambria Math" w:hAnsi="Cambria Math"/>
                    </w:rPr>
                  </m:ctrlPr>
                </m:e>
              </m:d>
              <m:r>
                <m:rPr>
                  <m:sty m:val="p"/>
                </m:rPr>
                <w:rPr>
                  <w:rFonts w:ascii="Cambria Math" w:hAnsi="Cambria Math"/>
                </w:rPr>
                <m:t>−</m:t>
              </m:r>
              <m:sSub>
                <m:sSubPr>
                  <m:ctrlPr>
                    <w:rPr>
                      <w:rFonts w:ascii="Cambria Math" w:hAnsi="Cambria Math"/>
                    </w:rPr>
                  </m:ctrlPr>
                </m:sSubPr>
                <m:e>
                  <m:r>
                    <m:rPr>
                      <m:sty m:val="p"/>
                    </m:rPr>
                    <w:rPr>
                      <w:rFonts w:ascii="Cambria Math" w:hAnsi="Cambria Math"/>
                    </w:rPr>
                    <m:t>μ</m:t>
                  </m:r>
                  <m:ctrlPr>
                    <w:rPr>
                      <w:rFonts w:ascii="Cambria Math" w:hAnsi="Cambria Math"/>
                    </w:rPr>
                  </m:ctrlPr>
                </m:e>
                <m:sub>
                  <m:r>
                    <m:rPr>
                      <m:sty m:val="p"/>
                    </m:rPr>
                    <w:rPr>
                      <w:rFonts w:ascii="Cambria Math" w:hAnsi="Cambria Math"/>
                    </w:rPr>
                    <m:t>x</m:t>
                  </m:r>
                  <m:ctrlPr>
                    <w:rPr>
                      <w:rFonts w:ascii="Cambria Math" w:hAnsi="Cambria Math"/>
                    </w:rPr>
                  </m:ctrlPr>
                </m:sub>
              </m:sSub>
              <m:r>
                <m:rPr>
                  <m:sty m:val="p"/>
                </m:rPr>
                <w:rPr>
                  <w:rFonts w:ascii="Cambria Math" w:hAnsi="Cambria Math"/>
                </w:rPr>
                <m:t>}dt</m:t>
              </m:r>
              <m:ctrlPr>
                <w:rPr>
                  <w:rFonts w:ascii="Cambria Math" w:hAnsi="Cambria Math"/>
                </w:rPr>
              </m:ctrlPr>
            </m:e>
          </m:nary>
        </m:oMath>
      </m:oMathPara>
    </w:p>
    <w:p w14:paraId="4D34D056">
      <w:pPr>
        <w:pStyle w:val="15"/>
        <w:ind w:firstLine="480"/>
        <w:rPr>
          <w:rFonts w:ascii="Cambria Math" w:hAnsi="Cambria Math"/>
        </w:rPr>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hint="eastAsia" w:ascii="Cambria Math" w:hAnsi="Cambria Math"/>
                </w:rPr>
                <m:t>xy</m:t>
              </m:r>
              <m:ctrlPr>
                <w:rPr>
                  <w:rFonts w:ascii="Cambria Math" w:hAnsi="Cambria Math"/>
                </w:rPr>
              </m:ctrlPr>
            </m:sub>
          </m:sSub>
          <m:d>
            <m:dPr>
              <m:ctrlPr>
                <w:rPr>
                  <w:rFonts w:ascii="Cambria Math" w:hAnsi="Cambria Math"/>
                </w:rPr>
              </m:ctrlPr>
            </m:dPr>
            <m:e>
              <m:r>
                <m:rPr>
                  <m:sty m:val="p"/>
                </m:rPr>
                <w:rPr>
                  <w:rFonts w:ascii="Cambria Math" w:hAnsi="Cambria Math"/>
                </w:rPr>
                <m:t>τ</m:t>
              </m:r>
              <m:ctrlPr>
                <w:rPr>
                  <w:rFonts w:ascii="Cambria Math" w:hAnsi="Cambria Math"/>
                </w:rPr>
              </m:ctrlPr>
            </m:e>
          </m:d>
          <m:r>
            <m:rPr>
              <m:sty m:val="p"/>
            </m:rPr>
            <w:rPr>
              <w:rFonts w:ascii="Cambria Math" w:hAnsi="Cambria Math"/>
            </w:rPr>
            <m:t>−</m:t>
          </m:r>
          <m:sSub>
            <m:sSubPr>
              <m:ctrlPr>
                <w:rPr>
                  <w:rFonts w:ascii="Cambria Math" w:hAnsi="Cambria Math"/>
                </w:rPr>
              </m:ctrlPr>
            </m:sSubPr>
            <m:e>
              <m:r>
                <m:rPr>
                  <m:sty m:val="p"/>
                </m:rPr>
                <w:rPr>
                  <w:rFonts w:ascii="Cambria Math" w:hAnsi="Cambria Math"/>
                </w:rPr>
                <m:t>μ</m:t>
              </m:r>
              <m:ctrlPr>
                <w:rPr>
                  <w:rFonts w:ascii="Cambria Math" w:hAnsi="Cambria Math"/>
                </w:rPr>
              </m:ctrlPr>
            </m:e>
            <m:sub>
              <m:r>
                <m:rPr>
                  <m:sty m:val="p"/>
                </m:rPr>
                <w:rPr>
                  <w:rFonts w:ascii="Cambria Math" w:hAnsi="Cambria Math"/>
                </w:rPr>
                <m:t>x</m:t>
              </m:r>
              <m:ctrlPr>
                <w:rPr>
                  <w:rFonts w:ascii="Cambria Math" w:hAnsi="Cambria Math"/>
                </w:rPr>
              </m:ctrlPr>
            </m:sub>
          </m:sSub>
          <m:sSub>
            <m:sSubPr>
              <m:ctrlPr>
                <w:rPr>
                  <w:rFonts w:ascii="Cambria Math" w:hAnsi="Cambria Math"/>
                </w:rPr>
              </m:ctrlPr>
            </m:sSubPr>
            <m:e>
              <m:r>
                <m:rPr>
                  <m:sty m:val="p"/>
                </m:rPr>
                <w:rPr>
                  <w:rFonts w:ascii="Cambria Math" w:hAnsi="Cambria Math"/>
                </w:rPr>
                <m:t>μ</m:t>
              </m:r>
              <m:ctrlPr>
                <w:rPr>
                  <w:rFonts w:ascii="Cambria Math" w:hAnsi="Cambria Math"/>
                </w:rPr>
              </m:ctrlPr>
            </m:e>
            <m:sub>
              <m:r>
                <m:rPr>
                  <m:sty m:val="p"/>
                </m:rPr>
                <w:rPr>
                  <w:rFonts w:ascii="Cambria Math" w:hAnsi="Cambria Math"/>
                </w:rPr>
                <m:t>y</m:t>
              </m:r>
              <m:ctrlPr>
                <w:rPr>
                  <w:rFonts w:ascii="Cambria Math" w:hAnsi="Cambria Math"/>
                </w:rPr>
              </m:ctrlPr>
            </m:sub>
          </m:sSub>
        </m:oMath>
      </m:oMathPara>
    </w:p>
    <w:p w14:paraId="46795D0F">
      <w:pPr>
        <w:pStyle w:val="15"/>
        <w:ind w:firstLine="480"/>
        <w:rPr>
          <w:rFonts w:ascii="Cambria Math" w:hAnsi="Cambria Math"/>
        </w:rPr>
      </w:pPr>
      <w:r>
        <w:rPr>
          <w:rFonts w:hint="eastAsia" w:ascii="Cambria Math" w:hAnsi="Cambria Math"/>
        </w:rPr>
        <w:t>式中：</w:t>
      </w:r>
    </w:p>
    <w:p w14:paraId="1A236A97">
      <w:pPr>
        <w:pStyle w:val="15"/>
        <w:ind w:firstLine="480"/>
        <w:rPr>
          <w:rFonts w:ascii="Cambria Math" w:hAnsi="Cambria Math"/>
        </w:rPr>
      </w:pPr>
      <m:oMathPara>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rPr>
                <m:t>x</m:t>
              </m:r>
              <m:r>
                <m:rPr>
                  <m:sty m:val="p"/>
                </m:rPr>
                <w:rPr>
                  <w:rFonts w:hint="eastAsia" w:ascii="Cambria Math" w:hAnsi="Cambria Math"/>
                </w:rPr>
                <m:t>y</m:t>
              </m:r>
              <m:ctrlPr>
                <w:rPr>
                  <w:rFonts w:ascii="Cambria Math" w:hAnsi="Cambria Math"/>
                </w:rPr>
              </m:ctrlPr>
            </m:sub>
          </m:sSub>
          <m:d>
            <m:dPr>
              <m:ctrlPr>
                <w:rPr>
                  <w:rFonts w:ascii="Cambria Math" w:hAnsi="Cambria Math"/>
                </w:rPr>
              </m:ctrlPr>
            </m:dPr>
            <m:e>
              <m:r>
                <m:rPr>
                  <m:sty m:val="p"/>
                </m:rPr>
                <w:rPr>
                  <w:rFonts w:ascii="Cambria Math" w:hAnsi="Cambria Math"/>
                </w:rPr>
                <m:t>τ</m:t>
              </m:r>
              <m:ctrlPr>
                <w:rPr>
                  <w:rFonts w:ascii="Cambria Math" w:hAnsi="Cambria Math"/>
                </w:rPr>
              </m:ctrlPr>
            </m:e>
          </m:d>
          <m:r>
            <m:rPr>
              <m:sty m:val="p"/>
            </m:rPr>
            <w:rPr>
              <w:rFonts w:hint="eastAsia"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T</m:t>
                  </m:r>
                  <m:r>
                    <m:rPr>
                      <m:sty m:val="p"/>
                    </m:rPr>
                    <w:rPr>
                      <w:rFonts w:hint="eastAsia" w:ascii="Cambria Math" w:hAnsi="Cambria Math"/>
                    </w:rPr>
                    <m:t>→</m:t>
                  </m:r>
                  <m:r>
                    <m:rPr>
                      <m:sty m:val="p"/>
                    </m:rPr>
                    <w:rPr>
                      <w:rFonts w:ascii="Cambria Math" w:hAnsi="Cambria Math"/>
                    </w:rPr>
                    <m:t>∞</m:t>
                  </m:r>
                  <m:ctrlPr>
                    <w:rPr>
                      <w:rFonts w:ascii="Cambria Math" w:hAnsi="Cambria Math"/>
                    </w:rPr>
                  </m:ctrlPr>
                </m:lim>
              </m:limLow>
              <m:ctrlPr>
                <w:rPr>
                  <w:rFonts w:ascii="Cambria Math" w:hAnsi="Cambria Math"/>
                </w:rPr>
              </m:ctrlPr>
            </m:fName>
            <m:e>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T</m:t>
                  </m:r>
                  <m:ctrlPr>
                    <w:rPr>
                      <w:rFonts w:ascii="Cambria Math" w:hAnsi="Cambria Math"/>
                    </w:rPr>
                  </m:ctrlPr>
                </m:den>
              </m:f>
              <m:nary>
                <m:naryPr>
                  <m:limLoc m:val="subSup"/>
                  <m:ctrlPr>
                    <w:rPr>
                      <w:rFonts w:ascii="Cambria Math" w:hAnsi="Cambria Math"/>
                    </w:rPr>
                  </m:ctrlPr>
                </m:naryPr>
                <m:sub>
                  <m:r>
                    <m:rPr>
                      <m:sty m:val="p"/>
                    </m:rPr>
                    <w:rPr>
                      <w:rFonts w:ascii="Cambria Math" w:hAnsi="Cambria Math"/>
                    </w:rPr>
                    <m:t>0</m:t>
                  </m:r>
                  <m:ctrlPr>
                    <w:rPr>
                      <w:rFonts w:ascii="Cambria Math" w:hAnsi="Cambria Math"/>
                    </w:rPr>
                  </m:ctrlPr>
                </m:sub>
                <m:sup>
                  <m:r>
                    <m:rPr>
                      <m:sty m:val="p"/>
                    </m:rPr>
                    <w:rPr>
                      <w:rFonts w:ascii="Cambria Math" w:hAnsi="Cambria Math"/>
                    </w:rPr>
                    <m:t>T</m:t>
                  </m:r>
                  <m:ctrlPr>
                    <w:rPr>
                      <w:rFonts w:ascii="Cambria Math" w:hAnsi="Cambria Math"/>
                    </w:rPr>
                  </m:ctrlPr>
                </m:sup>
                <m:e>
                  <m:r>
                    <m:rPr>
                      <m:sty m:val="p"/>
                    </m:rPr>
                    <w:rPr>
                      <w:rFonts w:ascii="Cambria Math" w:hAnsi="Cambria Math"/>
                    </w:rPr>
                    <m:t>x(t)x(t+τ)dt</m:t>
                  </m:r>
                  <m:ctrlPr>
                    <w:rPr>
                      <w:rFonts w:ascii="Cambria Math" w:hAnsi="Cambria Math"/>
                    </w:rPr>
                  </m:ctrlPr>
                </m:e>
              </m:nary>
              <m:ctrlPr>
                <w:rPr>
                  <w:rFonts w:ascii="Cambria Math" w:hAnsi="Cambria Math"/>
                </w:rPr>
              </m:ctrlPr>
            </m:e>
          </m:func>
        </m:oMath>
      </m:oMathPara>
    </w:p>
    <w:p w14:paraId="2E12A5AA">
      <w:pPr>
        <w:pStyle w:val="15"/>
        <w:ind w:firstLine="480"/>
        <w:rPr>
          <w:rFonts w:ascii="Cambria Math" w:hAnsi="Cambria Math"/>
        </w:rPr>
      </w:pPr>
      <w:r>
        <w:rPr>
          <w:rFonts w:hint="eastAsia" w:ascii="Cambria Math" w:hAnsi="Cambria Math"/>
        </w:rPr>
        <w:t>称x</w:t>
      </w:r>
      <w:r>
        <w:rPr>
          <w:rFonts w:ascii="Cambria Math" w:hAnsi="Cambria Math"/>
        </w:rPr>
        <w:t>(t)</w:t>
      </w:r>
      <w:r>
        <w:rPr>
          <w:rFonts w:hint="eastAsia" w:ascii="Cambria Math" w:hAnsi="Cambria Math"/>
        </w:rPr>
        <w:t>与y</w:t>
      </w:r>
      <w:r>
        <w:rPr>
          <w:rFonts w:ascii="Cambria Math" w:hAnsi="Cambria Math"/>
        </w:rPr>
        <w:t>(t)</w:t>
      </w:r>
      <w:r>
        <w:rPr>
          <w:rFonts w:hint="eastAsia" w:ascii="Cambria Math" w:hAnsi="Cambria Math"/>
        </w:rPr>
        <w:t>的互相关函数，自变量</w:t>
      </w:r>
      <m:oMath>
        <m:r>
          <m:rPr>
            <m:sty m:val="p"/>
          </m:rPr>
          <w:rPr>
            <w:rFonts w:ascii="Cambria Math" w:hAnsi="Cambria Math"/>
          </w:rPr>
          <m:t>τ</m:t>
        </m:r>
      </m:oMath>
      <w:r>
        <w:rPr>
          <w:rFonts w:hint="eastAsia" w:ascii="Cambria Math" w:hAnsi="Cambria Math"/>
        </w:rPr>
        <w:t>称为时移。</w:t>
      </w:r>
    </w:p>
    <w:p w14:paraId="16DCF770">
      <w:pPr>
        <w:pStyle w:val="15"/>
        <w:ind w:firstLine="480"/>
        <w:rPr>
          <w:rFonts w:ascii="Cambria Math" w:hAnsi="Cambria Math"/>
        </w:rPr>
      </w:pPr>
      <w:r>
        <w:rPr>
          <w:rFonts w:hint="eastAsia" w:ascii="Cambria Math" w:hAnsi="Cambria Math"/>
        </w:rPr>
        <w:t>互相关函数表示的是两个时间序列之间和同一个时间序列在任意两个不同时刻的取值之间的相关程度，即互相关函数是描述随机信号</w:t>
      </w:r>
      <w:r>
        <w:rPr>
          <w:rFonts w:ascii="Cambria Math" w:hAnsi="Cambria Math"/>
        </w:rPr>
        <w:t>x(t),y(t)在任意两个不同时刻t1，t2的取值之间的相关程度。描述两个不同的信号之间的相关性的函数，这两个信号不一定是随机信号。</w:t>
      </w:r>
    </w:p>
    <w:p w14:paraId="0471825F">
      <w:pPr>
        <w:pStyle w:val="15"/>
        <w:numPr>
          <w:ilvl w:val="0"/>
          <w:numId w:val="23"/>
        </w:numPr>
        <w:ind w:left="851" w:firstLineChars="0"/>
      </w:pPr>
      <w:r>
        <w:rPr>
          <w:rFonts w:hint="eastAsia"/>
        </w:rPr>
        <w:t>频混现象</w:t>
      </w:r>
    </w:p>
    <w:p w14:paraId="64CB5F74">
      <w:pPr>
        <w:pStyle w:val="15"/>
        <w:ind w:firstLine="480"/>
        <w:rPr>
          <w:rFonts w:ascii="Cambria Math" w:hAnsi="Cambria Math"/>
        </w:rPr>
      </w:pPr>
      <w:r>
        <w:rPr>
          <w:rFonts w:hint="eastAsia" w:ascii="Cambria Math" w:hAnsi="Cambria Math"/>
        </w:rPr>
        <w:t>频混现象又称为频谱混叠效应，它是由于采样信号频率发生变化，而出现高、低频成分发生混淆的一种现象，如图</w:t>
      </w:r>
      <w:r>
        <w:rPr>
          <w:rFonts w:ascii="Cambria Math" w:hAnsi="Cambria Math"/>
        </w:rPr>
        <w:t>1所示</w:t>
      </w:r>
      <w:r>
        <w:rPr>
          <w:rFonts w:hint="eastAsia" w:ascii="Cambria Math" w:hAnsi="Cambria Math"/>
        </w:rPr>
        <w:t>。信号x</w:t>
      </w:r>
      <w:r>
        <w:rPr>
          <w:rFonts w:ascii="Cambria Math" w:hAnsi="Cambria Math"/>
        </w:rPr>
        <w:t>(t)</w:t>
      </w:r>
      <w:r>
        <w:rPr>
          <w:rFonts w:hint="eastAsia" w:ascii="Cambria Math" w:hAnsi="Cambria Math"/>
        </w:rPr>
        <w:t>的傅里叶变换为X</w:t>
      </w:r>
      <w:r>
        <w:rPr>
          <w:rFonts w:ascii="Cambria Math" w:hAnsi="Cambria Math"/>
        </w:rPr>
        <w:t>(</w:t>
      </w:r>
      <m:oMath>
        <m:r>
          <m:rPr>
            <m:sty m:val="p"/>
          </m:rPr>
          <w:rPr>
            <w:rFonts w:ascii="Cambria Math" w:hAnsi="Cambria Math"/>
          </w:rPr>
          <m:t>ω</m:t>
        </m:r>
      </m:oMath>
      <w:r>
        <w:rPr>
          <w:rFonts w:ascii="Cambria Math" w:hAnsi="Cambria Math"/>
        </w:rPr>
        <w:t>)</w:t>
      </w:r>
      <w:r>
        <w:rPr>
          <w:rFonts w:hint="eastAsia" w:ascii="Cambria Math" w:hAnsi="Cambria Math"/>
        </w:rPr>
        <w:t>，其频带范围为</w:t>
      </w:r>
      <m:oMath>
        <m:r>
          <m:rPr>
            <m:sty m:val="p"/>
          </m:rPr>
          <w:rPr>
            <w:rFonts w:hint="eastAsia" w:ascii="Cambria Math" w:hAnsi="Cambria Math"/>
          </w:rPr>
          <m:t>−</m:t>
        </m:r>
        <m:sSub>
          <m:sSubPr>
            <m:ctrlPr>
              <w:rPr>
                <w:rFonts w:ascii="Cambria Math" w:hAnsi="Cambria Math"/>
              </w:rPr>
            </m:ctrlPr>
          </m:sSubPr>
          <m:e>
            <m:r>
              <m:rPr>
                <m:sty m:val="p"/>
              </m:rPr>
              <w:rPr>
                <w:rFonts w:ascii="Cambria Math" w:hAnsi="Cambria Math"/>
              </w:rPr>
              <m:t>ω</m:t>
            </m:r>
            <m:ctrlPr>
              <w:rPr>
                <w:rFonts w:ascii="Cambria Math" w:hAnsi="Cambria Math"/>
              </w:rPr>
            </m:ctrlPr>
          </m:e>
          <m:sub>
            <m:r>
              <m:rPr>
                <m:sty m:val="p"/>
              </m:rPr>
              <w:rPr>
                <w:rFonts w:ascii="Cambria Math" w:hAnsi="Cambria Math"/>
              </w:rPr>
              <m:t>m</m:t>
            </m:r>
            <m:ctrlPr>
              <w:rPr>
                <w:rFonts w:ascii="Cambria Math" w:hAnsi="Cambria Math"/>
              </w:rPr>
            </m:ctrlPr>
          </m:sub>
        </m:sSub>
        <m:r>
          <m:rPr>
            <m:sty m:val="p"/>
          </m:rPr>
          <w:rPr>
            <w:rFonts w:hint="eastAsia"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ω</m:t>
            </m:r>
            <m:ctrlPr>
              <w:rPr>
                <w:rFonts w:ascii="Cambria Math" w:hAnsi="Cambria Math"/>
              </w:rPr>
            </m:ctrlPr>
          </m:e>
          <m:sub>
            <m:r>
              <m:rPr>
                <m:sty m:val="p"/>
              </m:rPr>
              <w:rPr>
                <w:rFonts w:hint="eastAsia" w:ascii="Cambria Math" w:hAnsi="Cambria Math"/>
              </w:rPr>
              <m:t>m</m:t>
            </m:r>
            <m:ctrlPr>
              <w:rPr>
                <w:rFonts w:ascii="Cambria Math" w:hAnsi="Cambria Math"/>
              </w:rPr>
            </m:ctrlPr>
          </m:sub>
        </m:sSub>
      </m:oMath>
      <w:r>
        <w:rPr>
          <w:rFonts w:hint="eastAsia" w:ascii="Cambria Math" w:hAnsi="Cambria Math"/>
        </w:rPr>
        <w:t>；采样信号x</w:t>
      </w:r>
      <w:r>
        <w:rPr>
          <w:rFonts w:ascii="Cambria Math" w:hAnsi="Cambria Math"/>
        </w:rPr>
        <w:t>(t)</w:t>
      </w:r>
      <w:r>
        <w:rPr>
          <w:rFonts w:hint="eastAsia" w:ascii="Cambria Math" w:hAnsi="Cambria Math"/>
        </w:rPr>
        <w:t>的傅里叶变换是一个周期谱图，其周期为</w:t>
      </w:r>
      <m:oMath>
        <m:sSub>
          <m:sSubPr>
            <m:ctrlPr>
              <w:rPr>
                <w:rFonts w:ascii="Cambria Math" w:hAnsi="Cambria Math"/>
              </w:rPr>
            </m:ctrlPr>
          </m:sSubPr>
          <m:e>
            <m:r>
              <m:rPr>
                <m:sty m:val="p"/>
              </m:rPr>
              <w:rPr>
                <w:rFonts w:ascii="Cambria Math" w:hAnsi="Cambria Math"/>
              </w:rPr>
              <m:t>ω</m:t>
            </m:r>
            <m:ctrlPr>
              <w:rPr>
                <w:rFonts w:ascii="Cambria Math" w:hAnsi="Cambria Math"/>
              </w:rPr>
            </m:ctrlPr>
          </m:e>
          <m:sub>
            <m:r>
              <m:rPr>
                <m:sty m:val="p"/>
              </m:rPr>
              <w:rPr>
                <w:rFonts w:hint="eastAsia" w:ascii="Cambria Math" w:hAnsi="Cambria Math"/>
              </w:rPr>
              <m:t>s</m:t>
            </m:r>
            <m:ctrlPr>
              <w:rPr>
                <w:rFonts w:ascii="Cambria Math" w:hAnsi="Cambria Math"/>
              </w:rPr>
            </m:ctrlPr>
          </m:sub>
        </m:sSub>
      </m:oMath>
      <w:r>
        <w:rPr>
          <w:rFonts w:hint="eastAsia" w:ascii="Cambria Math" w:hAnsi="Cambria Math"/>
        </w:rPr>
        <w:t>，并且：</w:t>
      </w:r>
    </w:p>
    <w:p w14:paraId="2EAE3B86">
      <w:pPr>
        <w:pStyle w:val="15"/>
        <w:ind w:firstLine="480"/>
        <w:rPr>
          <w:rFonts w:ascii="Cambria Math" w:hAnsi="Cambria Math"/>
        </w:rPr>
      </w:pPr>
      <m:oMathPara>
        <m:oMath>
          <m:sSub>
            <m:sSubPr>
              <m:ctrlPr>
                <w:rPr>
                  <w:rFonts w:ascii="Cambria Math" w:hAnsi="Cambria Math"/>
                </w:rPr>
              </m:ctrlPr>
            </m:sSubPr>
            <m:e>
              <m:r>
                <m:rPr>
                  <m:sty m:val="p"/>
                </m:rPr>
                <w:rPr>
                  <w:rFonts w:ascii="Cambria Math" w:hAnsi="Cambria Math"/>
                </w:rPr>
                <m:t>ω</m:t>
              </m:r>
              <m:ctrlPr>
                <w:rPr>
                  <w:rFonts w:ascii="Cambria Math" w:hAnsi="Cambria Math"/>
                </w:rPr>
              </m:ctrlPr>
            </m:e>
            <m:sub>
              <m:r>
                <m:rPr>
                  <m:sty m:val="p"/>
                </m:rPr>
                <w:rPr>
                  <w:rFonts w:hint="eastAsia" w:ascii="Cambria Math" w:hAnsi="Cambria Math"/>
                </w:rPr>
                <m:t>s</m:t>
              </m:r>
              <m:ctrlPr>
                <w:rPr>
                  <w:rFonts w:ascii="Cambria Math" w:hAnsi="Cambria Math"/>
                </w:rPr>
              </m:ctrlPr>
            </m:sub>
          </m:sSub>
          <m:r>
            <m:rPr>
              <m:sty m:val="p"/>
            </m:rPr>
            <w:rPr>
              <w:rFonts w:ascii="Cambria Math" w:hAnsi="Cambria Math"/>
            </w:rPr>
            <m:t>=2</m:t>
          </m:r>
          <m:r>
            <m:rPr>
              <m:sty m:val="p"/>
            </m:rPr>
            <w:rPr>
              <w:rFonts w:hint="eastAsia" w:ascii="Cambria Math" w:hAnsi="Cambria Math"/>
            </w:rPr>
            <m:t>π</m:t>
          </m:r>
          <m:r>
            <m:rPr>
              <m:sty m:val="p"/>
            </m:rPr>
            <w:rPr>
              <w:rFonts w:ascii="Cambria Math" w:hAnsi="Cambria Math"/>
            </w:rPr>
            <m:t>/</m:t>
          </m:r>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s</m:t>
              </m:r>
              <m:ctrlPr>
                <w:rPr>
                  <w:rFonts w:ascii="Cambria Math" w:hAnsi="Cambria Math"/>
                </w:rPr>
              </m:ctrlPr>
            </m:sub>
          </m:sSub>
        </m:oMath>
      </m:oMathPara>
    </w:p>
    <w:p w14:paraId="32476CB9">
      <w:pPr>
        <w:pStyle w:val="15"/>
        <w:ind w:firstLine="480"/>
        <w:rPr>
          <w:rFonts w:ascii="Cambria Math" w:hAnsi="Cambria Math"/>
        </w:rPr>
      </w:pPr>
      <m:oMath>
        <m:sSub>
          <m:sSubPr>
            <m:ctrlPr>
              <w:rPr>
                <w:rFonts w:ascii="Cambria Math" w:hAnsi="Cambria Math"/>
              </w:rPr>
            </m:ctrlPr>
          </m:sSubPr>
          <m:e>
            <m:r>
              <m:rPr>
                <m:sty m:val="p"/>
              </m:rPr>
              <w:rPr>
                <w:rFonts w:ascii="Cambria Math" w:hAnsi="Cambria Math"/>
              </w:rPr>
              <m:t xml:space="preserve">  T</m:t>
            </m:r>
            <m:ctrlPr>
              <w:rPr>
                <w:rFonts w:ascii="Cambria Math" w:hAnsi="Cambria Math"/>
              </w:rPr>
            </m:ctrlPr>
          </m:e>
          <m:sub>
            <m:r>
              <m:rPr>
                <m:sty m:val="p"/>
              </m:rPr>
              <w:rPr>
                <w:rFonts w:ascii="Cambria Math" w:hAnsi="Cambria Math"/>
              </w:rPr>
              <m:t>s</m:t>
            </m:r>
            <m:ctrlPr>
              <w:rPr>
                <w:rFonts w:ascii="Cambria Math" w:hAnsi="Cambria Math"/>
              </w:rPr>
            </m:ctrlPr>
          </m:sub>
        </m:sSub>
      </m:oMath>
      <w:r>
        <w:rPr>
          <w:rFonts w:hint="eastAsia" w:ascii="Cambria Math" w:hAnsi="Cambria Math"/>
        </w:rPr>
        <w:t>为时域采集周期，当采样周期</w:t>
      </w:r>
      <m:oMath>
        <m:sSub>
          <m:sSubPr>
            <m:ctrlPr>
              <w:rPr>
                <w:rFonts w:ascii="Cambria Math" w:hAnsi="Cambria Math"/>
              </w:rPr>
            </m:ctrlPr>
          </m:sSubPr>
          <m:e>
            <m:r>
              <m:rPr>
                <m:sty m:val="p"/>
              </m:rPr>
              <w:rPr>
                <w:rFonts w:ascii="Cambria Math" w:hAnsi="Cambria Math"/>
              </w:rPr>
              <m:t xml:space="preserve">  T</m:t>
            </m:r>
            <m:ctrlPr>
              <w:rPr>
                <w:rFonts w:ascii="Cambria Math" w:hAnsi="Cambria Math"/>
              </w:rPr>
            </m:ctrlPr>
          </m:e>
          <m:sub>
            <m:r>
              <m:rPr>
                <m:sty m:val="p"/>
              </m:rPr>
              <w:rPr>
                <w:rFonts w:ascii="Cambria Math" w:hAnsi="Cambria Math"/>
              </w:rPr>
              <m:t>s</m:t>
            </m:r>
            <m:ctrlPr>
              <w:rPr>
                <w:rFonts w:ascii="Cambria Math" w:hAnsi="Cambria Math"/>
              </w:rPr>
            </m:ctrlPr>
          </m:sub>
        </m:sSub>
      </m:oMath>
      <w:r>
        <w:rPr>
          <w:rFonts w:hint="eastAsia" w:ascii="Cambria Math" w:hAnsi="Cambria Math"/>
        </w:rPr>
        <w:t>较小时，</w:t>
      </w:r>
      <m:oMath>
        <m:sSub>
          <m:sSubPr>
            <m:ctrlPr>
              <w:rPr>
                <w:rFonts w:ascii="Cambria Math" w:hAnsi="Cambria Math"/>
              </w:rPr>
            </m:ctrlPr>
          </m:sSubPr>
          <m:e>
            <m:r>
              <m:rPr>
                <m:sty m:val="p"/>
              </m:rPr>
              <w:rPr>
                <w:rFonts w:ascii="Cambria Math" w:hAnsi="Cambria Math"/>
              </w:rPr>
              <m:t>ω</m:t>
            </m:r>
            <m:ctrlPr>
              <w:rPr>
                <w:rFonts w:ascii="Cambria Math" w:hAnsi="Cambria Math"/>
              </w:rPr>
            </m:ctrlPr>
          </m:e>
          <m:sub>
            <m:r>
              <m:rPr>
                <m:sty m:val="p"/>
              </m:rPr>
              <w:rPr>
                <w:rFonts w:ascii="Cambria Math" w:hAnsi="Cambria Math"/>
              </w:rPr>
              <m:t>s</m:t>
            </m:r>
            <m:ctrlPr>
              <w:rPr>
                <w:rFonts w:ascii="Cambria Math" w:hAnsi="Cambria Math"/>
              </w:rPr>
            </m:ctrlPr>
          </m:sub>
        </m:sSub>
        <m:r>
          <m:rPr>
            <m:sty m:val="p"/>
          </m:rPr>
          <w:rPr>
            <w:rFonts w:ascii="Cambria Math" w:hAnsi="Cambria Math"/>
          </w:rPr>
          <m:t>&gt;</m:t>
        </m:r>
        <m:r>
          <m:rPr/>
          <w:rPr>
            <w:rFonts w:ascii="Cambria Math" w:hAnsi="Cambria Math"/>
          </w:rPr>
          <m:t>2</m:t>
        </m:r>
        <m:sSub>
          <m:sSubPr>
            <m:ctrlPr>
              <w:rPr>
                <w:rFonts w:ascii="Cambria Math" w:hAnsi="Cambria Math"/>
              </w:rPr>
            </m:ctrlPr>
          </m:sSubPr>
          <m:e>
            <m:r>
              <m:rPr>
                <m:sty m:val="p"/>
              </m:rPr>
              <w:rPr>
                <w:rFonts w:ascii="Cambria Math" w:hAnsi="Cambria Math"/>
              </w:rPr>
              <m:t>ω</m:t>
            </m:r>
            <m:ctrlPr>
              <w:rPr>
                <w:rFonts w:ascii="Cambria Math" w:hAnsi="Cambria Math"/>
              </w:rPr>
            </m:ctrlPr>
          </m:e>
          <m:sub>
            <m:r>
              <m:rPr>
                <m:sty m:val="p"/>
              </m:rPr>
              <w:rPr>
                <w:rFonts w:ascii="Cambria Math" w:hAnsi="Cambria Math"/>
              </w:rPr>
              <m:t>m</m:t>
            </m:r>
            <m:ctrlPr>
              <w:rPr>
                <w:rFonts w:ascii="Cambria Math" w:hAnsi="Cambria Math"/>
              </w:rPr>
            </m:ctrlPr>
          </m:sub>
        </m:sSub>
      </m:oMath>
      <w:r>
        <w:rPr>
          <w:rFonts w:hint="eastAsia" w:ascii="Cambria Math" w:hAnsi="Cambria Math"/>
        </w:rPr>
        <w:t>，周期谱图互相分离如图1中（b）所示；当</w:t>
      </w:r>
      <m:oMath>
        <m:sSub>
          <m:sSubPr>
            <m:ctrlPr>
              <w:rPr>
                <w:rFonts w:ascii="Cambria Math" w:hAnsi="Cambria Math"/>
              </w:rPr>
            </m:ctrlPr>
          </m:sSubPr>
          <m:e>
            <m:r>
              <m:rPr>
                <m:sty m:val="p"/>
              </m:rPr>
              <w:rPr>
                <w:rFonts w:ascii="Cambria Math" w:hAnsi="Cambria Math"/>
              </w:rPr>
              <m:t xml:space="preserve">  T</m:t>
            </m:r>
            <m:ctrlPr>
              <w:rPr>
                <w:rFonts w:ascii="Cambria Math" w:hAnsi="Cambria Math"/>
              </w:rPr>
            </m:ctrlPr>
          </m:e>
          <m:sub>
            <m:r>
              <m:rPr>
                <m:sty m:val="p"/>
              </m:rPr>
              <w:rPr>
                <w:rFonts w:ascii="Cambria Math" w:hAnsi="Cambria Math"/>
              </w:rPr>
              <m:t>s</m:t>
            </m:r>
            <m:ctrlPr>
              <w:rPr>
                <w:rFonts w:ascii="Cambria Math" w:hAnsi="Cambria Math"/>
              </w:rPr>
            </m:ctrlPr>
          </m:sub>
        </m:sSub>
      </m:oMath>
      <w:r>
        <w:rPr>
          <w:rFonts w:hint="eastAsia" w:ascii="Cambria Math" w:hAnsi="Cambria Math"/>
        </w:rPr>
        <w:t>较大时，</w:t>
      </w:r>
      <m:oMath>
        <m:sSub>
          <m:sSubPr>
            <m:ctrlPr>
              <w:rPr>
                <w:rFonts w:ascii="Cambria Math" w:hAnsi="Cambria Math"/>
              </w:rPr>
            </m:ctrlPr>
          </m:sSubPr>
          <m:e>
            <m:r>
              <m:rPr>
                <m:sty m:val="p"/>
              </m:rPr>
              <w:rPr>
                <w:rFonts w:ascii="Cambria Math" w:hAnsi="Cambria Math"/>
              </w:rPr>
              <m:t>ω</m:t>
            </m:r>
            <m:ctrlPr>
              <w:rPr>
                <w:rFonts w:ascii="Cambria Math" w:hAnsi="Cambria Math"/>
              </w:rPr>
            </m:ctrlPr>
          </m:e>
          <m:sub>
            <m:r>
              <m:rPr>
                <m:sty m:val="p"/>
              </m:rPr>
              <w:rPr>
                <w:rFonts w:ascii="Cambria Math" w:hAnsi="Cambria Math"/>
              </w:rPr>
              <m:t>s</m:t>
            </m:r>
            <m:ctrlPr>
              <w:rPr>
                <w:rFonts w:ascii="Cambria Math" w:hAnsi="Cambria Math"/>
              </w:rPr>
            </m:ctrlPr>
          </m:sub>
        </m:sSub>
        <m:r>
          <m:rPr>
            <m:sty m:val="p"/>
          </m:rPr>
          <w:rPr>
            <w:rFonts w:ascii="Cambria Math" w:hAnsi="Cambria Math"/>
          </w:rPr>
          <m:t>&lt;</m:t>
        </m:r>
        <m:r>
          <m:rPr/>
          <w:rPr>
            <w:rFonts w:ascii="Cambria Math" w:hAnsi="Cambria Math"/>
          </w:rPr>
          <m:t>2</m:t>
        </m:r>
        <m:sSub>
          <m:sSubPr>
            <m:ctrlPr>
              <w:rPr>
                <w:rFonts w:ascii="Cambria Math" w:hAnsi="Cambria Math"/>
              </w:rPr>
            </m:ctrlPr>
          </m:sSubPr>
          <m:e>
            <m:r>
              <m:rPr>
                <m:sty m:val="p"/>
              </m:rPr>
              <w:rPr>
                <w:rFonts w:ascii="Cambria Math" w:hAnsi="Cambria Math"/>
              </w:rPr>
              <m:t>ω</m:t>
            </m:r>
            <m:ctrlPr>
              <w:rPr>
                <w:rFonts w:ascii="Cambria Math" w:hAnsi="Cambria Math"/>
              </w:rPr>
            </m:ctrlPr>
          </m:e>
          <m:sub>
            <m:r>
              <m:rPr>
                <m:sty m:val="p"/>
              </m:rPr>
              <w:rPr>
                <w:rFonts w:ascii="Cambria Math" w:hAnsi="Cambria Math"/>
              </w:rPr>
              <m:t>m</m:t>
            </m:r>
            <m:ctrlPr>
              <w:rPr>
                <w:rFonts w:ascii="Cambria Math" w:hAnsi="Cambria Math"/>
              </w:rPr>
            </m:ctrlPr>
          </m:sub>
        </m:sSub>
      </m:oMath>
      <w:r>
        <w:rPr>
          <w:rFonts w:hint="eastAsia" w:ascii="Cambria Math" w:hAnsi="Cambria Math"/>
        </w:rPr>
        <w:t>，周期图谱相互重叠，即图谱之间高频与低频部分发生重叠，如图1中（c）所示，此即为频混现象，这将使信号复原时丢失原始信号中的高频信息。</w:t>
      </w:r>
    </w:p>
    <w:p w14:paraId="48D69013">
      <w:pPr>
        <w:pStyle w:val="15"/>
        <w:ind w:left="780" w:firstLine="492" w:firstLineChars="0"/>
        <w:jc w:val="center"/>
      </w:pPr>
      <w:r>
        <w:drawing>
          <wp:inline distT="0" distB="0" distL="0" distR="0">
            <wp:extent cx="3710940" cy="2770505"/>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7"/>
                    <a:stretch>
                      <a:fillRect/>
                    </a:stretch>
                  </pic:blipFill>
                  <pic:spPr>
                    <a:xfrm>
                      <a:off x="0" y="0"/>
                      <a:ext cx="3718419" cy="2776420"/>
                    </a:xfrm>
                    <a:prstGeom prst="rect">
                      <a:avLst/>
                    </a:prstGeom>
                  </pic:spPr>
                </pic:pic>
              </a:graphicData>
            </a:graphic>
          </wp:inline>
        </w:drawing>
      </w:r>
    </w:p>
    <w:p w14:paraId="1E9E73D3">
      <w:pPr>
        <w:pStyle w:val="15"/>
        <w:ind w:left="780" w:firstLine="492" w:firstLineChars="0"/>
        <w:jc w:val="center"/>
      </w:pPr>
      <w:r>
        <w:rPr>
          <w:rFonts w:hint="eastAsia"/>
        </w:rPr>
        <w:t>图1采样信号的频混现象</w:t>
      </w:r>
    </w:p>
    <w:p w14:paraId="5140507B">
      <w:pPr>
        <w:pStyle w:val="15"/>
        <w:ind w:firstLine="480"/>
        <w:rPr>
          <w:rFonts w:ascii="Cambria Math" w:hAnsi="Cambria Math"/>
        </w:rPr>
      </w:pPr>
      <w:r>
        <w:rPr>
          <w:rFonts w:hint="eastAsia" w:ascii="Cambria Math" w:hAnsi="Cambria Math"/>
        </w:rPr>
        <w:t>下面从时域信号波形来看这种情况。图</w:t>
      </w:r>
      <w:r>
        <w:rPr>
          <w:rFonts w:ascii="Cambria Math" w:hAnsi="Cambria Math"/>
        </w:rPr>
        <w:t>2（a）是频率正确的情况，以及其复原信</w:t>
      </w:r>
      <w:r>
        <w:rPr>
          <w:rFonts w:hint="eastAsia" w:ascii="Cambria Math" w:hAnsi="Cambria Math"/>
        </w:rPr>
        <w:t>号；（</w:t>
      </w:r>
      <w:r>
        <w:rPr>
          <w:rFonts w:ascii="Cambria Math" w:hAnsi="Cambria Math"/>
        </w:rPr>
        <w:t>b）是采样频率过低的情况，复原的是一个虚假的低频信号。</w:t>
      </w:r>
    </w:p>
    <w:p w14:paraId="5D92B57A">
      <w:pPr>
        <w:pStyle w:val="15"/>
        <w:ind w:left="780" w:firstLine="492" w:firstLineChars="0"/>
        <w:jc w:val="center"/>
      </w:pPr>
      <w:r>
        <w:drawing>
          <wp:inline distT="0" distB="0" distL="0" distR="0">
            <wp:extent cx="3375660" cy="19507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8"/>
                    <a:stretch>
                      <a:fillRect/>
                    </a:stretch>
                  </pic:blipFill>
                  <pic:spPr>
                    <a:xfrm>
                      <a:off x="0" y="0"/>
                      <a:ext cx="3399866" cy="1964528"/>
                    </a:xfrm>
                    <a:prstGeom prst="rect">
                      <a:avLst/>
                    </a:prstGeom>
                  </pic:spPr>
                </pic:pic>
              </a:graphicData>
            </a:graphic>
          </wp:inline>
        </w:drawing>
      </w:r>
    </w:p>
    <w:p w14:paraId="47102536">
      <w:pPr>
        <w:pStyle w:val="15"/>
        <w:ind w:left="780" w:firstLine="492" w:firstLineChars="0"/>
        <w:jc w:val="center"/>
      </w:pPr>
      <w:r>
        <w:rPr>
          <w:rFonts w:hint="eastAsia"/>
        </w:rPr>
        <w:t>图2发生频混现象的时域信号波形</w:t>
      </w:r>
    </w:p>
    <w:p w14:paraId="1F4BBD30">
      <w:pPr>
        <w:pStyle w:val="15"/>
        <w:ind w:firstLine="480"/>
        <w:rPr>
          <w:rFonts w:ascii="Cambria Math" w:hAnsi="Cambria Math"/>
        </w:rPr>
      </w:pPr>
      <w:r>
        <w:rPr>
          <w:rFonts w:hint="eastAsia" w:ascii="Cambria Math" w:hAnsi="Cambria Math"/>
        </w:rPr>
        <w:t>当采样信号的频率低于被采样信号的最高频率时，采样所得的信号中混入了虚假的低频分量，这种现象叫做频率混叠。</w:t>
      </w:r>
    </w:p>
    <w:p w14:paraId="5C699646">
      <w:pPr>
        <w:pStyle w:val="15"/>
        <w:numPr>
          <w:ilvl w:val="0"/>
          <w:numId w:val="23"/>
        </w:numPr>
        <w:ind w:left="851" w:firstLineChars="0"/>
        <w:rPr>
          <w:rFonts w:ascii="Cambria Math" w:hAnsi="Cambria Math"/>
        </w:rPr>
      </w:pPr>
      <w:r>
        <w:rPr>
          <w:rFonts w:hint="eastAsia"/>
        </w:rPr>
        <w:t>计算混叠后的频率</w:t>
      </w:r>
    </w:p>
    <w:p w14:paraId="0CCBD131">
      <w:pPr>
        <w:pStyle w:val="15"/>
        <w:ind w:firstLine="480"/>
        <w:rPr>
          <w:rFonts w:ascii="Cambria Math" w:hAnsi="Cambria Math"/>
        </w:rPr>
      </w:pPr>
      <w:r>
        <w:rPr>
          <w:rFonts w:hint="eastAsia" w:ascii="Cambria Math" w:hAnsi="Cambria Math"/>
        </w:rPr>
        <w:t>如果没有抗混叠滤波器，不满足采样定理的信号采集必然会存在混叠现象。采样频率计为</w:t>
      </w:r>
      <m:oMath>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s</m:t>
            </m:r>
            <m:ctrlPr>
              <w:rPr>
                <w:rFonts w:ascii="Cambria Math" w:hAnsi="Cambria Math"/>
                <w:i/>
              </w:rPr>
            </m:ctrlPr>
          </m:sub>
        </m:sSub>
      </m:oMath>
      <w:r>
        <w:rPr>
          <w:rFonts w:hint="eastAsia" w:ascii="Cambria Math" w:hAnsi="Cambria Math"/>
        </w:rPr>
        <w:t>，信号原始频率计为</w:t>
      </w:r>
      <m:oMath>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o</m:t>
            </m:r>
            <m:ctrlPr>
              <w:rPr>
                <w:rFonts w:ascii="Cambria Math" w:hAnsi="Cambria Math"/>
              </w:rPr>
            </m:ctrlPr>
          </m:sub>
        </m:sSub>
      </m:oMath>
      <w:r>
        <w:rPr>
          <w:rFonts w:hint="eastAsia" w:ascii="Cambria Math" w:hAnsi="Cambria Math"/>
        </w:rPr>
        <w:t>，那么混叠后的频率</w:t>
      </w:r>
      <m:oMath>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a</m:t>
            </m:r>
            <m:ctrlPr>
              <w:rPr>
                <w:rFonts w:ascii="Cambria Math" w:hAnsi="Cambria Math"/>
              </w:rPr>
            </m:ctrlPr>
          </m:sub>
        </m:sSub>
      </m:oMath>
      <w:r>
        <w:rPr>
          <w:rFonts w:hint="eastAsia" w:ascii="Cambria Math" w:hAnsi="Cambria Math"/>
        </w:rPr>
        <w:t>可以用下列公式计算：</w:t>
      </w:r>
    </w:p>
    <w:p w14:paraId="3A4E432F">
      <w:pPr>
        <w:ind w:left="431" w:firstLine="0" w:firstLineChars="0"/>
        <w:rPr>
          <w:rFonts w:ascii="Cambria Math" w:hAnsi="Cambria Math"/>
        </w:rPr>
      </w:pPr>
      <m:oMathPara>
        <m:oMath>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a</m:t>
              </m:r>
              <m:ctrlPr>
                <w:rPr>
                  <w:rFonts w:ascii="Cambria Math" w:hAnsi="Cambria Math"/>
                </w:rPr>
              </m:ctrlP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o</m:t>
                  </m:r>
                  <m:ctrlPr>
                    <w:rPr>
                      <w:rFonts w:ascii="Cambria Math" w:hAnsi="Cambria Math"/>
                    </w:rPr>
                  </m:ctrlPr>
                </m:sub>
              </m:sSub>
              <m:r>
                <m:rPr/>
                <w:rPr>
                  <w:rFonts w:ascii="Cambria Math" w:hAnsi="Cambria Math"/>
                </w:rPr>
                <m:t>−k</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s</m:t>
                  </m:r>
                  <m:ctrlPr>
                    <w:rPr>
                      <w:rFonts w:ascii="Cambria Math" w:hAnsi="Cambria Math"/>
                      <w:i/>
                    </w:rPr>
                  </m:ctrlPr>
                </m:sub>
              </m:sSub>
              <m:ctrlPr>
                <w:rPr>
                  <w:rFonts w:ascii="Cambria Math" w:hAnsi="Cambria Math"/>
                </w:rPr>
              </m:ctrlPr>
            </m:e>
          </m:d>
        </m:oMath>
      </m:oMathPara>
    </w:p>
    <w:p w14:paraId="4E71FA6A">
      <w:pPr>
        <w:ind w:left="431" w:firstLine="0" w:firstLineChars="0"/>
        <w:rPr>
          <w:rFonts w:ascii="Cambria Math" w:hAnsi="Cambria Math"/>
        </w:rPr>
      </w:pPr>
      <w:r>
        <w:rPr>
          <w:rFonts w:hint="eastAsia" w:ascii="Cambria Math" w:hAnsi="Cambria Math"/>
        </w:rPr>
        <w:t>其中，k是整数，从0开始取值并使</w:t>
      </w:r>
      <m:oMath>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a</m:t>
            </m:r>
            <m:ctrlPr>
              <w:rPr>
                <w:rFonts w:ascii="Cambria Math" w:hAnsi="Cambria Math"/>
              </w:rPr>
            </m:ctrlPr>
          </m:sub>
        </m:sSub>
      </m:oMath>
      <w:r>
        <w:rPr>
          <w:rFonts w:ascii="Cambria Math" w:hAnsi="Cambria Math"/>
        </w:rPr>
        <w:t>最小</w:t>
      </w:r>
      <w:r>
        <w:rPr>
          <w:rFonts w:hint="eastAsia" w:ascii="Cambria Math" w:hAnsi="Cambria Math"/>
        </w:rPr>
        <w:t>。</w:t>
      </w:r>
    </w:p>
    <w:p w14:paraId="04CAEF7D">
      <w:pPr>
        <w:pStyle w:val="15"/>
        <w:numPr>
          <w:ilvl w:val="0"/>
          <w:numId w:val="23"/>
        </w:numPr>
        <w:ind w:left="851" w:firstLineChars="0"/>
      </w:pPr>
      <w:r>
        <w:rPr>
          <w:rFonts w:hint="eastAsia"/>
        </w:rPr>
        <w:t>采样定理</w:t>
      </w:r>
    </w:p>
    <w:p w14:paraId="3297F6A8">
      <w:pPr>
        <w:pStyle w:val="15"/>
        <w:ind w:firstLine="480"/>
        <w:rPr>
          <w:rFonts w:ascii="Cambria Math" w:hAnsi="Cambria Math"/>
        </w:rPr>
      </w:pPr>
      <w:r>
        <w:rPr>
          <w:rFonts w:hint="eastAsia" w:ascii="Cambria Math" w:hAnsi="Cambria Math"/>
        </w:rPr>
        <w:t>上述情况表明，如果</w:t>
      </w:r>
      <m:oMath>
        <m:sSub>
          <m:sSubPr>
            <m:ctrlPr>
              <w:rPr>
                <w:rFonts w:ascii="Cambria Math" w:hAnsi="Cambria Math"/>
              </w:rPr>
            </m:ctrlPr>
          </m:sSubPr>
          <m:e>
            <m:r>
              <m:rPr>
                <m:sty m:val="p"/>
              </m:rPr>
              <w:rPr>
                <w:rFonts w:ascii="Cambria Math" w:hAnsi="Cambria Math"/>
              </w:rPr>
              <m:t>ω</m:t>
            </m:r>
            <m:ctrlPr>
              <w:rPr>
                <w:rFonts w:ascii="Cambria Math" w:hAnsi="Cambria Math"/>
              </w:rPr>
            </m:ctrlPr>
          </m:e>
          <m:sub>
            <m:r>
              <m:rPr>
                <m:sty m:val="p"/>
              </m:rPr>
              <w:rPr>
                <w:rFonts w:ascii="Cambria Math" w:hAnsi="Cambria Math"/>
              </w:rPr>
              <m:t>s</m:t>
            </m:r>
            <m:ctrlPr>
              <w:rPr>
                <w:rFonts w:ascii="Cambria Math" w:hAnsi="Cambria Math"/>
              </w:rPr>
            </m:ctrlPr>
          </m:sub>
        </m:sSub>
        <m:r>
          <m:rPr>
            <m:sty m:val="p"/>
          </m:rPr>
          <w:rPr>
            <w:rFonts w:ascii="Cambria Math" w:hAnsi="Cambria Math"/>
          </w:rPr>
          <m:t>&gt;</m:t>
        </m:r>
        <m:r>
          <m:rPr/>
          <w:rPr>
            <w:rFonts w:ascii="Cambria Math" w:hAnsi="Cambria Math"/>
          </w:rPr>
          <m:t>2</m:t>
        </m:r>
        <m:sSub>
          <m:sSubPr>
            <m:ctrlPr>
              <w:rPr>
                <w:rFonts w:ascii="Cambria Math" w:hAnsi="Cambria Math"/>
              </w:rPr>
            </m:ctrlPr>
          </m:sSubPr>
          <m:e>
            <m:r>
              <m:rPr>
                <m:sty m:val="p"/>
              </m:rPr>
              <w:rPr>
                <w:rFonts w:ascii="Cambria Math" w:hAnsi="Cambria Math"/>
              </w:rPr>
              <m:t>ω</m:t>
            </m:r>
            <m:ctrlPr>
              <w:rPr>
                <w:rFonts w:ascii="Cambria Math" w:hAnsi="Cambria Math"/>
              </w:rPr>
            </m:ctrlPr>
          </m:e>
          <m:sub>
            <m:r>
              <m:rPr>
                <m:sty m:val="p"/>
              </m:rPr>
              <w:rPr>
                <w:rFonts w:ascii="Cambria Math" w:hAnsi="Cambria Math"/>
              </w:rPr>
              <m:t>m</m:t>
            </m:r>
            <m:ctrlPr>
              <w:rPr>
                <w:rFonts w:ascii="Cambria Math" w:hAnsi="Cambria Math"/>
              </w:rPr>
            </m:ctrlPr>
          </m:sub>
        </m:sSub>
      </m:oMath>
      <w:r>
        <w:rPr>
          <w:rFonts w:hint="eastAsia" w:ascii="Cambria Math" w:hAnsi="Cambria Math"/>
        </w:rPr>
        <w:t>，就不发生频混现象，因此对采样脉冲序列的间隔</w:t>
      </w:r>
      <m:oMath>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s</m:t>
            </m:r>
            <m:ctrlPr>
              <w:rPr>
                <w:rFonts w:ascii="Cambria Math" w:hAnsi="Cambria Math"/>
              </w:rPr>
            </m:ctrlPr>
          </m:sub>
        </m:sSub>
      </m:oMath>
      <w:r>
        <w:rPr>
          <w:rFonts w:hint="eastAsia" w:ascii="Cambria Math" w:hAnsi="Cambria Math"/>
        </w:rPr>
        <w:t>须加以限制，即采样频率</w:t>
      </w:r>
      <m:oMath>
        <m:sSub>
          <m:sSubPr>
            <m:ctrlPr>
              <w:rPr>
                <w:rFonts w:ascii="Cambria Math" w:hAnsi="Cambria Math"/>
              </w:rPr>
            </m:ctrlPr>
          </m:sSubPr>
          <m:e>
            <m:r>
              <m:rPr>
                <m:sty m:val="p"/>
              </m:rPr>
              <w:rPr>
                <w:rFonts w:ascii="Cambria Math" w:hAnsi="Cambria Math"/>
              </w:rPr>
              <m:t>ω</m:t>
            </m:r>
            <m:ctrlPr>
              <w:rPr>
                <w:rFonts w:ascii="Cambria Math" w:hAnsi="Cambria Math"/>
              </w:rPr>
            </m:ctrlPr>
          </m:e>
          <m:sub>
            <m:r>
              <m:rPr>
                <m:sty m:val="p"/>
              </m:rPr>
              <w:rPr>
                <w:rFonts w:hint="eastAsia" w:ascii="Cambria Math" w:hAnsi="Cambria Math"/>
              </w:rPr>
              <m:t>s</m:t>
            </m:r>
            <m:ctrlPr>
              <w:rPr>
                <w:rFonts w:ascii="Cambria Math" w:hAnsi="Cambria Math"/>
              </w:rPr>
            </m:ctrlPr>
          </m:sub>
        </m:sSub>
        <m:r>
          <m:rPr>
            <m:sty m:val="p"/>
          </m:rPr>
          <w:rPr>
            <w:rFonts w:ascii="Cambria Math" w:hAnsi="Cambria Math"/>
          </w:rPr>
          <m:t>(2</m:t>
        </m:r>
        <m:r>
          <m:rPr>
            <m:sty m:val="p"/>
          </m:rPr>
          <w:rPr>
            <w:rFonts w:hint="eastAsia" w:ascii="Cambria Math" w:hAnsi="Cambria Math"/>
          </w:rPr>
          <m:t>π</m:t>
        </m:r>
        <m:r>
          <m:rPr>
            <m:sty m:val="p"/>
          </m:rPr>
          <w:rPr>
            <w:rFonts w:ascii="Cambria Math" w:hAnsi="Cambria Math"/>
          </w:rPr>
          <m:t>/</m:t>
        </m:r>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hint="eastAsia" w:ascii="Cambria Math" w:hAnsi="Cambria Math"/>
              </w:rPr>
              <m:t>s</m:t>
            </m:r>
            <m:ctrlPr>
              <w:rPr>
                <w:rFonts w:ascii="Cambria Math" w:hAnsi="Cambria Math"/>
              </w:rPr>
            </m:ctrlPr>
          </m:sub>
        </m:sSub>
      </m:oMath>
      <w:r>
        <w:rPr>
          <w:rFonts w:hint="eastAsia" w:ascii="Cambria Math" w:hAnsi="Cambria Math"/>
        </w:rPr>
        <w:t>)或</w:t>
      </w:r>
      <m:oMath>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s</m:t>
            </m:r>
            <m:ctrlPr>
              <w:rPr>
                <w:rFonts w:ascii="Cambria Math" w:hAnsi="Cambria Math"/>
              </w:rPr>
            </m:ctrlP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s</m:t>
                </m:r>
                <m:ctrlPr>
                  <w:rPr>
                    <w:rFonts w:ascii="Cambria Math" w:hAnsi="Cambria Math"/>
                  </w:rPr>
                </m:ctrlPr>
              </m:sub>
            </m:sSub>
            <m:ctrlPr>
              <w:rPr>
                <w:rFonts w:ascii="Cambria Math" w:hAnsi="Cambria Math"/>
              </w:rPr>
            </m:ctrlPr>
          </m:den>
        </m:f>
        <m:r>
          <m:rPr>
            <m:sty m:val="p"/>
          </m:rPr>
          <w:rPr>
            <w:rFonts w:ascii="Cambria Math" w:hAnsi="Cambria Math"/>
          </w:rPr>
          <m:t>)</m:t>
        </m:r>
      </m:oMath>
      <w:r>
        <w:rPr>
          <w:rFonts w:hint="eastAsia" w:ascii="Cambria Math" w:hAnsi="Cambria Math"/>
        </w:rPr>
        <w:t>必须大于或等于信号x</w:t>
      </w:r>
      <w:r>
        <w:rPr>
          <w:rFonts w:ascii="Cambria Math" w:hAnsi="Cambria Math"/>
        </w:rPr>
        <w:t>(t)</w:t>
      </w:r>
      <w:r>
        <w:rPr>
          <w:rFonts w:hint="eastAsia" w:ascii="Cambria Math" w:hAnsi="Cambria Math"/>
        </w:rPr>
        <w:t>中的最高频率</w:t>
      </w:r>
      <m:oMath>
        <m:sSub>
          <m:sSubPr>
            <m:ctrlPr>
              <w:rPr>
                <w:rFonts w:ascii="Cambria Math" w:hAnsi="Cambria Math"/>
              </w:rPr>
            </m:ctrlPr>
          </m:sSubPr>
          <m:e>
            <m:r>
              <m:rPr>
                <m:sty m:val="p"/>
              </m:rPr>
              <w:rPr>
                <w:rFonts w:ascii="Cambria Math" w:hAnsi="Cambria Math"/>
              </w:rPr>
              <m:t>ω</m:t>
            </m:r>
            <m:ctrlPr>
              <w:rPr>
                <w:rFonts w:ascii="Cambria Math" w:hAnsi="Cambria Math"/>
              </w:rPr>
            </m:ctrlPr>
          </m:e>
          <m:sub>
            <m:r>
              <m:rPr>
                <m:sty m:val="p"/>
              </m:rPr>
              <w:rPr>
                <w:rFonts w:hint="eastAsia" w:ascii="Cambria Math" w:hAnsi="Cambria Math"/>
              </w:rPr>
              <m:t>m</m:t>
            </m:r>
            <m:ctrlPr>
              <w:rPr>
                <w:rFonts w:ascii="Cambria Math" w:hAnsi="Cambria Math"/>
              </w:rPr>
            </m:ctrlPr>
          </m:sub>
        </m:sSub>
      </m:oMath>
      <w:r>
        <w:rPr>
          <w:rFonts w:hint="eastAsia" w:ascii="Cambria Math" w:hAnsi="Cambria Math"/>
        </w:rPr>
        <w:t>的两倍，即：</w:t>
      </w:r>
      <m:oMath>
        <m:sSub>
          <m:sSubPr>
            <m:ctrlPr>
              <w:rPr>
                <w:rFonts w:ascii="Cambria Math" w:hAnsi="Cambria Math"/>
              </w:rPr>
            </m:ctrlPr>
          </m:sSubPr>
          <m:e>
            <m:r>
              <m:rPr>
                <m:sty m:val="p"/>
              </m:rPr>
              <w:rPr>
                <w:rFonts w:ascii="Cambria Math" w:hAnsi="Cambria Math"/>
              </w:rPr>
              <m:t>ω</m:t>
            </m:r>
            <m:ctrlPr>
              <w:rPr>
                <w:rFonts w:ascii="Cambria Math" w:hAnsi="Cambria Math"/>
              </w:rPr>
            </m:ctrlPr>
          </m:e>
          <m:sub>
            <m:r>
              <m:rPr>
                <m:sty m:val="p"/>
              </m:rPr>
              <w:rPr>
                <w:rFonts w:ascii="Cambria Math" w:hAnsi="Cambria Math"/>
              </w:rPr>
              <m:t>s</m:t>
            </m:r>
            <m:ctrlPr>
              <w:rPr>
                <w:rFonts w:ascii="Cambria Math" w:hAnsi="Cambria Math"/>
              </w:rPr>
            </m:ctrlPr>
          </m:sub>
        </m:sSub>
        <m:r>
          <m:rPr>
            <m:sty m:val="p"/>
          </m:rPr>
          <w:rPr>
            <w:rFonts w:ascii="Cambria Math" w:hAnsi="Cambria Math"/>
          </w:rPr>
          <m:t>&gt;</m:t>
        </m:r>
        <m:r>
          <m:rPr/>
          <w:rPr>
            <w:rFonts w:ascii="Cambria Math" w:hAnsi="Cambria Math"/>
          </w:rPr>
          <m:t>2</m:t>
        </m:r>
        <m:sSub>
          <m:sSubPr>
            <m:ctrlPr>
              <w:rPr>
                <w:rFonts w:ascii="Cambria Math" w:hAnsi="Cambria Math"/>
              </w:rPr>
            </m:ctrlPr>
          </m:sSubPr>
          <m:e>
            <m:r>
              <m:rPr>
                <m:sty m:val="p"/>
              </m:rPr>
              <w:rPr>
                <w:rFonts w:ascii="Cambria Math" w:hAnsi="Cambria Math"/>
              </w:rPr>
              <m:t>ω</m:t>
            </m:r>
            <m:ctrlPr>
              <w:rPr>
                <w:rFonts w:ascii="Cambria Math" w:hAnsi="Cambria Math"/>
              </w:rPr>
            </m:ctrlPr>
          </m:e>
          <m:sub>
            <m:r>
              <m:rPr>
                <m:sty m:val="p"/>
              </m:rPr>
              <w:rPr>
                <w:rFonts w:ascii="Cambria Math" w:hAnsi="Cambria Math"/>
              </w:rPr>
              <m:t>m</m:t>
            </m:r>
            <m:ctrlPr>
              <w:rPr>
                <w:rFonts w:ascii="Cambria Math" w:hAnsi="Cambria Math"/>
              </w:rPr>
            </m:ctrlPr>
          </m:sub>
        </m:sSub>
      </m:oMath>
      <w:r>
        <w:rPr>
          <w:rFonts w:hint="eastAsia" w:ascii="Cambria Math" w:hAnsi="Cambria Math"/>
        </w:rPr>
        <w:t>或</w:t>
      </w:r>
      <m:oMath>
        <m:sSub>
          <m:sSubPr>
            <m:ctrlPr>
              <w:rPr>
                <w:rFonts w:ascii="Cambria Math" w:hAnsi="Cambria Math"/>
              </w:rPr>
            </m:ctrlPr>
          </m:sSubPr>
          <m:e>
            <m:r>
              <m:rPr>
                <m:sty m:val="p"/>
              </m:rPr>
              <w:rPr>
                <w:rFonts w:hint="eastAsia" w:ascii="Cambria Math" w:hAnsi="Cambria Math"/>
              </w:rPr>
              <m:t>f</m:t>
            </m:r>
            <m:ctrlPr>
              <w:rPr>
                <w:rFonts w:ascii="Cambria Math" w:hAnsi="Cambria Math"/>
              </w:rPr>
            </m:ctrlPr>
          </m:e>
          <m:sub>
            <m:r>
              <m:rPr>
                <m:sty m:val="p"/>
              </m:rPr>
              <w:rPr>
                <w:rFonts w:ascii="Cambria Math" w:hAnsi="Cambria Math"/>
              </w:rPr>
              <m:t>s</m:t>
            </m:r>
            <m:ctrlPr>
              <w:rPr>
                <w:rFonts w:ascii="Cambria Math" w:hAnsi="Cambria Math"/>
              </w:rPr>
            </m:ctrlPr>
          </m:sub>
        </m:sSub>
        <m:r>
          <m:rPr>
            <m:sty m:val="p"/>
          </m:rPr>
          <w:rPr>
            <w:rFonts w:ascii="Cambria Math" w:hAnsi="Cambria Math"/>
          </w:rPr>
          <m:t>&gt;</m:t>
        </m:r>
        <m:r>
          <m:rPr/>
          <w:rPr>
            <w:rFonts w:ascii="Cambria Math" w:hAnsi="Cambria Math"/>
          </w:rPr>
          <m:t>2</m:t>
        </m:r>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m</m:t>
            </m:r>
            <m:ctrlPr>
              <w:rPr>
                <w:rFonts w:ascii="Cambria Math" w:hAnsi="Cambria Math"/>
              </w:rPr>
            </m:ctrlPr>
          </m:sub>
        </m:sSub>
      </m:oMath>
      <w:r>
        <w:rPr>
          <w:rFonts w:hint="eastAsia" w:ascii="Cambria Math" w:hAnsi="Cambria Math"/>
        </w:rPr>
        <w:t>。</w:t>
      </w:r>
    </w:p>
    <w:p w14:paraId="522F750E">
      <w:pPr>
        <w:pStyle w:val="15"/>
        <w:ind w:firstLine="480"/>
      </w:pPr>
      <w:r>
        <w:rPr>
          <w:rFonts w:hint="eastAsia" w:ascii="Cambria Math" w:hAnsi="Cambria Math"/>
        </w:rPr>
        <w:t>为了保证采样后的信号能真实地保留原始模拟信号的信息，采样信号的频率必须至少为原信号中最高频率成分的</w:t>
      </w:r>
      <w:r>
        <w:rPr>
          <w:rFonts w:ascii="Cambria Math" w:hAnsi="Cambria Math"/>
        </w:rPr>
        <w:t>2倍。这是采样的基本法</w:t>
      </w:r>
      <w:r>
        <w:t>则，称为采样定理。</w:t>
      </w:r>
    </w:p>
    <w:p w14:paraId="0E11A6A1">
      <w:pPr>
        <w:pStyle w:val="15"/>
        <w:ind w:firstLine="480"/>
        <w:rPr>
          <w:rFonts w:ascii="Cambria Math" w:hAnsi="Cambria Math"/>
        </w:rPr>
      </w:pPr>
      <w:r>
        <w:rPr>
          <w:rFonts w:hint="eastAsia" w:ascii="Cambria Math" w:hAnsi="Cambria Math"/>
        </w:rPr>
        <w:t>需要注意的是，在对信号进行采集时，满足了采样定理，只能保证不发生频率混叠对信号的频谱作逆傅里叶变换时，可以完全变换为原时域采样信号，而不能保证此时的采样信号能真实地反映原信号。工程实际中采样频率通常大于信号中最高频率成分的</w:t>
      </w:r>
      <w:r>
        <w:rPr>
          <w:rFonts w:ascii="Cambria Math" w:hAnsi="Cambria Math"/>
        </w:rPr>
        <w:t>3到5倍</w:t>
      </w:r>
      <w:r>
        <w:rPr>
          <w:rFonts w:hint="eastAsia" w:ascii="Cambria Math" w:hAnsi="Cambria Math"/>
        </w:rPr>
        <w:t>，</w:t>
      </w:r>
      <w:r>
        <w:rPr>
          <w:rFonts w:ascii="Cambria Math" w:hAnsi="Cambria Math"/>
        </w:rPr>
        <w:t>如果时域想要得到比较准确的幅值会需要设置到</w:t>
      </w:r>
      <w:r>
        <w:rPr>
          <w:rFonts w:hint="eastAsia" w:ascii="Cambria Math" w:hAnsi="Cambria Math"/>
        </w:rPr>
        <w:t>信号中最高频率成分的10倍或更高</w:t>
      </w:r>
      <w:r>
        <w:rPr>
          <w:rFonts w:ascii="Cambria Math" w:hAnsi="Cambria Math"/>
        </w:rPr>
        <w:t>。</w:t>
      </w:r>
    </w:p>
    <w:p w14:paraId="52926A5E">
      <w:pPr>
        <w:pStyle w:val="15"/>
        <w:numPr>
          <w:ilvl w:val="0"/>
          <w:numId w:val="21"/>
        </w:numPr>
        <w:ind w:left="425" w:hanging="431" w:firstLineChars="0"/>
        <w:outlineLvl w:val="1"/>
        <w:rPr>
          <w:b/>
          <w:bCs/>
        </w:rPr>
      </w:pPr>
      <w:r>
        <w:rPr>
          <w:rFonts w:hint="eastAsia"/>
          <w:b/>
          <w:bCs/>
        </w:rPr>
        <w:t>实验仪器</w:t>
      </w:r>
    </w:p>
    <w:p w14:paraId="278584E6">
      <w:pPr>
        <w:pStyle w:val="15"/>
        <w:numPr>
          <w:ilvl w:val="0"/>
          <w:numId w:val="26"/>
        </w:numPr>
        <w:ind w:left="851" w:firstLineChars="0"/>
      </w:pPr>
      <w:r>
        <w:rPr>
          <w:rFonts w:hint="eastAsia"/>
        </w:rPr>
        <w:t>4通道数据采集仪（标准波形库模块、抗混叠滤波模块）——M</w:t>
      </w:r>
      <w:r>
        <w:t>I-7004</w:t>
      </w:r>
      <w:r>
        <w:rPr>
          <w:rFonts w:hint="eastAsia"/>
        </w:rPr>
        <w:t>。</w:t>
      </w:r>
    </w:p>
    <w:p w14:paraId="7679B58F">
      <w:pPr>
        <w:pStyle w:val="15"/>
        <w:numPr>
          <w:ilvl w:val="0"/>
          <w:numId w:val="26"/>
        </w:numPr>
        <w:ind w:left="851" w:firstLineChars="0"/>
      </w:pPr>
      <w:r>
        <w:rPr>
          <w:rFonts w:hint="eastAsia"/>
        </w:rPr>
        <w:t>双头B</w:t>
      </w:r>
      <w:r>
        <w:t>NC</w:t>
      </w:r>
      <w:r>
        <w:rPr>
          <w:rFonts w:hint="eastAsia"/>
        </w:rPr>
        <w:t>线1根。</w:t>
      </w:r>
    </w:p>
    <w:p w14:paraId="0A300C3D">
      <w:pPr>
        <w:pStyle w:val="15"/>
        <w:numPr>
          <w:ilvl w:val="0"/>
          <w:numId w:val="26"/>
        </w:numPr>
        <w:ind w:left="851" w:firstLineChars="0"/>
      </w:pPr>
      <w:r>
        <w:rPr>
          <w:rFonts w:hint="eastAsia"/>
        </w:rPr>
        <w:t>P</w:t>
      </w:r>
      <w:r>
        <w:t>C(</w:t>
      </w:r>
      <w:r>
        <w:rPr>
          <w:rFonts w:hint="eastAsia"/>
        </w:rPr>
        <w:t>主机+显示器</w:t>
      </w:r>
      <w:r>
        <w:t>)</w:t>
      </w:r>
    </w:p>
    <w:p w14:paraId="49A87796">
      <w:pPr>
        <w:pStyle w:val="15"/>
        <w:numPr>
          <w:ilvl w:val="0"/>
          <w:numId w:val="21"/>
        </w:numPr>
        <w:ind w:left="425" w:hanging="431" w:firstLineChars="0"/>
        <w:outlineLvl w:val="1"/>
        <w:rPr>
          <w:b/>
          <w:bCs/>
        </w:rPr>
      </w:pPr>
      <w:r>
        <w:rPr>
          <w:rFonts w:hint="eastAsia"/>
          <w:b/>
          <w:bCs/>
        </w:rPr>
        <w:t>实验内容与步骤</w:t>
      </w:r>
    </w:p>
    <w:p w14:paraId="1D5B5AE9">
      <w:pPr>
        <w:pStyle w:val="15"/>
        <w:ind w:firstLine="480"/>
        <w:rPr>
          <w:rFonts w:ascii="Cambria Math" w:hAnsi="Cambria Math"/>
        </w:rPr>
      </w:pPr>
      <w:r>
        <w:rPr>
          <w:rFonts w:hint="eastAsia" w:ascii="Cambria Math" w:hAnsi="Cambria Math"/>
        </w:rPr>
        <w:t>将模拟信号输出模块与标准波形库相结合，输出一稳定正弦波。通过实验台的自闭环系统，使用数据采集仪在测得此时的正弦信号。分别将接收到的正弦信号，进行时域、频域、自功率函数和自相关函数分析，得到标准信号波形参数及频谱、相关分析等。以标准波发生和采集装置，通过测试软件解调，使学生形象的去了解各类图谱的含义，为数字信号处理奠定基础。</w:t>
      </w:r>
    </w:p>
    <w:p w14:paraId="09205405">
      <w:pPr>
        <w:pStyle w:val="15"/>
        <w:ind w:left="420" w:firstLine="492" w:firstLineChars="0"/>
        <w:jc w:val="center"/>
      </w:pPr>
      <w:r>
        <w:drawing>
          <wp:inline distT="0" distB="0" distL="0" distR="0">
            <wp:extent cx="3863340" cy="2383155"/>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9"/>
                    <a:stretch>
                      <a:fillRect/>
                    </a:stretch>
                  </pic:blipFill>
                  <pic:spPr>
                    <a:xfrm>
                      <a:off x="0" y="0"/>
                      <a:ext cx="3997344" cy="2465975"/>
                    </a:xfrm>
                    <a:prstGeom prst="rect">
                      <a:avLst/>
                    </a:prstGeom>
                  </pic:spPr>
                </pic:pic>
              </a:graphicData>
            </a:graphic>
          </wp:inline>
        </w:drawing>
      </w:r>
    </w:p>
    <w:p w14:paraId="49486CCC">
      <w:pPr>
        <w:pStyle w:val="15"/>
        <w:ind w:firstLine="480"/>
        <w:rPr>
          <w:rFonts w:ascii="Cambria Math" w:hAnsi="Cambria Math"/>
        </w:rPr>
      </w:pPr>
      <w:r>
        <w:rPr>
          <w:rFonts w:hint="eastAsia" w:ascii="Cambria Math" w:hAnsi="Cambria Math"/>
        </w:rPr>
        <w:t>机电产品在工作过程种往往会出现不同的故障，</w:t>
      </w:r>
      <w:r>
        <w:rPr>
          <w:rFonts w:ascii="Cambria Math" w:hAnsi="Cambria Math"/>
        </w:rPr>
        <w:t>如何去找出故障源是解决故障的重中之重。在测试、模拟、分析故障时，采集到的原始模拟信号中包含的频率成分很丰富，有些高频成分是不需要的，或者因实际需要不能无限制提高采样频率，模拟信号中的高频信号折叠到低频段，出现虚假频率成分的现象，造成频率混迭。频率混迭及抗混滤波实验通过软件模拟生成输入波形，通过改变滤波器的相关参数，能把复杂难懂的理论教学转换成直观易懂的实验,帮助学生更好地理解并体验晦涩难懂的理论知识。</w:t>
      </w:r>
    </w:p>
    <w:p w14:paraId="39F9ED81">
      <w:pPr>
        <w:pStyle w:val="15"/>
        <w:ind w:left="420" w:firstLine="492" w:firstLineChars="0"/>
        <w:jc w:val="center"/>
      </w:pPr>
      <w:r>
        <w:drawing>
          <wp:inline distT="0" distB="0" distL="0" distR="0">
            <wp:extent cx="3807460" cy="11506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0"/>
                    <a:stretch>
                      <a:fillRect/>
                    </a:stretch>
                  </pic:blipFill>
                  <pic:spPr>
                    <a:xfrm>
                      <a:off x="0" y="0"/>
                      <a:ext cx="3971395" cy="1200122"/>
                    </a:xfrm>
                    <a:prstGeom prst="rect">
                      <a:avLst/>
                    </a:prstGeom>
                  </pic:spPr>
                </pic:pic>
              </a:graphicData>
            </a:graphic>
          </wp:inline>
        </w:drawing>
      </w:r>
    </w:p>
    <w:p w14:paraId="23425564">
      <w:pPr>
        <w:pStyle w:val="15"/>
        <w:ind w:left="420" w:firstLine="492" w:firstLineChars="0"/>
        <w:jc w:val="center"/>
      </w:pPr>
      <w:r>
        <w:drawing>
          <wp:inline distT="0" distB="0" distL="0" distR="0">
            <wp:extent cx="3840480" cy="1158240"/>
            <wp:effectExtent l="0" t="0" r="762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1"/>
                    <a:stretch>
                      <a:fillRect/>
                    </a:stretch>
                  </pic:blipFill>
                  <pic:spPr>
                    <a:xfrm>
                      <a:off x="0" y="0"/>
                      <a:ext cx="4219919" cy="1272682"/>
                    </a:xfrm>
                    <a:prstGeom prst="rect">
                      <a:avLst/>
                    </a:prstGeom>
                  </pic:spPr>
                </pic:pic>
              </a:graphicData>
            </a:graphic>
          </wp:inline>
        </w:drawing>
      </w:r>
    </w:p>
    <w:p w14:paraId="5BAD4A47">
      <w:pPr>
        <w:pStyle w:val="15"/>
        <w:ind w:firstLine="480"/>
        <w:rPr>
          <w:rFonts w:ascii="Cambria Math" w:hAnsi="Cambria Math"/>
        </w:rPr>
      </w:pPr>
      <w:r>
        <w:rPr>
          <w:rFonts w:hint="eastAsia" w:ascii="Cambria Math" w:hAnsi="Cambria Math"/>
        </w:rPr>
        <w:t>本实验所用的MI-7004数据采集仪是有抗混叠滤波器的，如果输入一个正弦信号，其信号频率高于采样频率的1/2，那么从时域就基本看不到信号了。</w:t>
      </w:r>
    </w:p>
    <w:p w14:paraId="1B7EFB21">
      <w:pPr>
        <w:pStyle w:val="15"/>
        <w:numPr>
          <w:ilvl w:val="0"/>
          <w:numId w:val="27"/>
        </w:numPr>
        <w:ind w:left="426" w:firstLineChars="0"/>
        <w:outlineLvl w:val="2"/>
      </w:pPr>
      <w:r>
        <w:rPr>
          <w:rFonts w:hint="eastAsia"/>
        </w:rPr>
        <w:t>连接仪器</w:t>
      </w:r>
    </w:p>
    <w:p w14:paraId="68C6AE63">
      <w:pPr>
        <w:pStyle w:val="15"/>
        <w:ind w:firstLine="480"/>
        <w:rPr>
          <w:rFonts w:ascii="Cambria Math" w:hAnsi="Cambria Math"/>
        </w:rPr>
      </w:pPr>
      <w:r>
        <w:rPr>
          <w:rFonts w:hint="eastAsia"/>
        </w:rPr>
        <w:t>把数据采集仪U</w:t>
      </w:r>
      <w:r>
        <w:t>SB</w:t>
      </w:r>
      <w:r>
        <w:rPr>
          <w:rFonts w:hint="eastAsia"/>
        </w:rPr>
        <w:t>通讯线A型公接口连接到计算机U</w:t>
      </w:r>
      <w:r>
        <w:t>SB</w:t>
      </w:r>
      <w:r>
        <w:rPr>
          <w:rFonts w:hint="eastAsia"/>
        </w:rPr>
        <w:t>接口，B型公接口连接到数据采集与分析仪的U</w:t>
      </w:r>
      <w:r>
        <w:t>SB</w:t>
      </w:r>
      <w:r>
        <w:rPr>
          <w:rFonts w:hint="eastAsia"/>
        </w:rPr>
        <w:t>接口，插上电源，不开机。</w:t>
      </w:r>
    </w:p>
    <w:p w14:paraId="5E240C21">
      <w:pPr>
        <w:pStyle w:val="15"/>
        <w:ind w:firstLine="0" w:firstLineChars="0"/>
        <w:jc w:val="center"/>
        <w:rPr>
          <w:rFonts w:ascii="Cambria Math" w:hAnsi="Cambria Math"/>
        </w:rPr>
      </w:pPr>
      <w:r>
        <w:rPr>
          <w:rFonts w:ascii="Cambria Math" w:hAnsi="Cambria Math"/>
        </w:rPr>
        <w:drawing>
          <wp:inline distT="0" distB="0" distL="0" distR="0">
            <wp:extent cx="2348230" cy="14859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5"/>
                    <a:stretch>
                      <a:fillRect/>
                    </a:stretch>
                  </pic:blipFill>
                  <pic:spPr>
                    <a:xfrm>
                      <a:off x="0" y="0"/>
                      <a:ext cx="2377152" cy="1503913"/>
                    </a:xfrm>
                    <a:prstGeom prst="rect">
                      <a:avLst/>
                    </a:prstGeom>
                  </pic:spPr>
                </pic:pic>
              </a:graphicData>
            </a:graphic>
          </wp:inline>
        </w:drawing>
      </w:r>
    </w:p>
    <w:p w14:paraId="1CF71D18">
      <w:pPr>
        <w:pStyle w:val="15"/>
        <w:ind w:firstLine="0" w:firstLineChars="0"/>
        <w:jc w:val="center"/>
        <w:rPr>
          <w:rFonts w:ascii="Cambria Math" w:hAnsi="Cambria Math"/>
        </w:rPr>
      </w:pPr>
      <w:r>
        <w:rPr>
          <w:rFonts w:ascii="Cambria Math" w:hAnsi="Cambria Math"/>
        </w:rPr>
        <w:drawing>
          <wp:inline distT="0" distB="0" distL="0" distR="0">
            <wp:extent cx="3040380" cy="1013460"/>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9"/>
                    <a:stretch>
                      <a:fillRect/>
                    </a:stretch>
                  </pic:blipFill>
                  <pic:spPr>
                    <a:xfrm>
                      <a:off x="0" y="0"/>
                      <a:ext cx="3083283" cy="1027761"/>
                    </a:xfrm>
                    <a:prstGeom prst="rect">
                      <a:avLst/>
                    </a:prstGeom>
                  </pic:spPr>
                </pic:pic>
              </a:graphicData>
            </a:graphic>
          </wp:inline>
        </w:drawing>
      </w:r>
    </w:p>
    <w:p w14:paraId="4196E360">
      <w:pPr>
        <w:pStyle w:val="15"/>
        <w:ind w:firstLine="480"/>
        <w:rPr>
          <w:rFonts w:ascii="Cambria Math" w:hAnsi="Cambria Math"/>
        </w:rPr>
      </w:pPr>
      <w:r>
        <w:rPr>
          <w:rFonts w:hint="eastAsia" w:ascii="Cambria Math" w:hAnsi="Cambria Math"/>
        </w:rPr>
        <w:t>将S</w:t>
      </w:r>
      <w:r>
        <w:rPr>
          <w:rFonts w:ascii="Cambria Math" w:hAnsi="Cambria Math"/>
        </w:rPr>
        <w:t>OURCE</w:t>
      </w:r>
      <w:r>
        <w:rPr>
          <w:rFonts w:hint="eastAsia" w:ascii="Cambria Math" w:hAnsi="Cambria Math"/>
        </w:rPr>
        <w:t>通道1与I</w:t>
      </w:r>
      <w:r>
        <w:rPr>
          <w:rFonts w:ascii="Cambria Math" w:hAnsi="Cambria Math"/>
        </w:rPr>
        <w:t>NPUT</w:t>
      </w:r>
      <w:r>
        <w:rPr>
          <w:rFonts w:hint="eastAsia" w:ascii="Cambria Math" w:hAnsi="Cambria Math"/>
        </w:rPr>
        <w:t>通道1（序号2）接通。</w:t>
      </w:r>
    </w:p>
    <w:p w14:paraId="31BAE6E8">
      <w:pPr>
        <w:pStyle w:val="15"/>
        <w:numPr>
          <w:ilvl w:val="0"/>
          <w:numId w:val="27"/>
        </w:numPr>
        <w:ind w:left="426" w:firstLineChars="0"/>
        <w:outlineLvl w:val="2"/>
      </w:pPr>
      <w:r>
        <w:rPr>
          <w:rFonts w:hint="eastAsia"/>
        </w:rPr>
        <w:t>实验准备</w:t>
      </w:r>
    </w:p>
    <w:p w14:paraId="1993BABB">
      <w:pPr>
        <w:pStyle w:val="15"/>
        <w:ind w:firstLine="480"/>
        <w:rPr>
          <w:rFonts w:ascii="Cambria Math" w:hAnsi="Cambria Math"/>
        </w:rPr>
      </w:pPr>
      <w:r>
        <w:rPr>
          <w:rFonts w:hint="eastAsia" w:ascii="Cambria Math" w:hAnsi="Cambria Math"/>
        </w:rPr>
        <w:t>打开数据采集仪电源开关。</w:t>
      </w:r>
    </w:p>
    <w:p w14:paraId="2483DF4A">
      <w:pPr>
        <w:pStyle w:val="15"/>
        <w:ind w:firstLine="0" w:firstLineChars="0"/>
        <w:jc w:val="center"/>
        <w:rPr>
          <w:rFonts w:ascii="Cambria Math" w:hAnsi="Cambria Math"/>
        </w:rPr>
      </w:pPr>
      <w:r>
        <w:rPr>
          <w:rFonts w:ascii="Cambria Math" w:hAnsi="Cambria Math"/>
        </w:rPr>
        <w:drawing>
          <wp:inline distT="0" distB="0" distL="0" distR="0">
            <wp:extent cx="632460" cy="57594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6"/>
                    <a:stretch>
                      <a:fillRect/>
                    </a:stretch>
                  </pic:blipFill>
                  <pic:spPr>
                    <a:xfrm>
                      <a:off x="0" y="0"/>
                      <a:ext cx="652163" cy="594376"/>
                    </a:xfrm>
                    <a:prstGeom prst="rect">
                      <a:avLst/>
                    </a:prstGeom>
                  </pic:spPr>
                </pic:pic>
              </a:graphicData>
            </a:graphic>
          </wp:inline>
        </w:drawing>
      </w:r>
    </w:p>
    <w:p w14:paraId="4BD91C38">
      <w:pPr>
        <w:pStyle w:val="15"/>
        <w:ind w:firstLine="480"/>
        <w:rPr>
          <w:rFonts w:ascii="Cambria Math" w:hAnsi="Cambria Math"/>
        </w:rPr>
      </w:pPr>
      <w:r>
        <w:rPr>
          <w:rFonts w:hint="eastAsia" w:ascii="Cambria Math" w:hAnsi="Cambria Math"/>
        </w:rPr>
        <w:t>在</w:t>
      </w:r>
      <w:r>
        <w:rPr>
          <w:rFonts w:ascii="Cambria Math" w:hAnsi="Cambria Math"/>
        </w:rPr>
        <w:t>Windows桌面上，找到数据采集与分析软件的快捷图标</w:t>
      </w:r>
      <w:r>
        <w:rPr>
          <w:rFonts w:ascii="Cambria Math" w:hAnsi="Cambria Math"/>
        </w:rPr>
        <w:drawing>
          <wp:inline distT="0" distB="0" distL="0" distR="0">
            <wp:extent cx="323850" cy="2857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7"/>
                    <a:stretch>
                      <a:fillRect/>
                    </a:stretch>
                  </pic:blipFill>
                  <pic:spPr>
                    <a:xfrm>
                      <a:off x="0" y="0"/>
                      <a:ext cx="323850" cy="285750"/>
                    </a:xfrm>
                    <a:prstGeom prst="rect">
                      <a:avLst/>
                    </a:prstGeom>
                  </pic:spPr>
                </pic:pic>
              </a:graphicData>
            </a:graphic>
          </wp:inline>
        </w:drawing>
      </w:r>
      <w:r>
        <w:rPr>
          <w:rFonts w:hint="eastAsia" w:ascii="Cambria Math" w:hAnsi="Cambria Math"/>
        </w:rPr>
        <w:t>。双击图标即可打开数据采集与分析软件，进入试验类型选择界面。点击“数据采集与分析”标签，再单击“动态信号分析”按钮，进入动态信号分析试验界面。</w:t>
      </w:r>
    </w:p>
    <w:p w14:paraId="2DB9C248">
      <w:pPr>
        <w:pStyle w:val="15"/>
        <w:ind w:hanging="13" w:firstLineChars="0"/>
        <w:jc w:val="center"/>
      </w:pPr>
      <w:r>
        <w:drawing>
          <wp:inline distT="0" distB="0" distL="0" distR="0">
            <wp:extent cx="3023870" cy="2217420"/>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8"/>
                    <a:stretch>
                      <a:fillRect/>
                    </a:stretch>
                  </pic:blipFill>
                  <pic:spPr>
                    <a:xfrm>
                      <a:off x="0" y="0"/>
                      <a:ext cx="3048856" cy="2235356"/>
                    </a:xfrm>
                    <a:prstGeom prst="rect">
                      <a:avLst/>
                    </a:prstGeom>
                  </pic:spPr>
                </pic:pic>
              </a:graphicData>
            </a:graphic>
          </wp:inline>
        </w:drawing>
      </w:r>
    </w:p>
    <w:p w14:paraId="22603D46">
      <w:pPr>
        <w:pStyle w:val="15"/>
        <w:ind w:firstLine="480"/>
        <w:rPr>
          <w:rFonts w:ascii="Cambria Math" w:hAnsi="Cambria Math"/>
        </w:rPr>
      </w:pPr>
      <w:r>
        <w:rPr>
          <w:rFonts w:hint="eastAsia" w:ascii="Cambria Math" w:hAnsi="Cambria Math"/>
        </w:rPr>
        <w:t>在工具栏上点击</w:t>
      </w:r>
      <w:r>
        <w:rPr>
          <w:rFonts w:ascii="Cambria Math" w:hAnsi="Cambria Math"/>
        </w:rPr>
        <w:drawing>
          <wp:inline distT="0" distB="0" distL="0" distR="0">
            <wp:extent cx="135890" cy="143510"/>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0"/>
                    <a:stretch>
                      <a:fillRect/>
                    </a:stretch>
                  </pic:blipFill>
                  <pic:spPr>
                    <a:xfrm>
                      <a:off x="0" y="0"/>
                      <a:ext cx="136487" cy="144116"/>
                    </a:xfrm>
                    <a:prstGeom prst="rect">
                      <a:avLst/>
                    </a:prstGeom>
                  </pic:spPr>
                </pic:pic>
              </a:graphicData>
            </a:graphic>
          </wp:inline>
        </w:drawing>
      </w:r>
      <w:r>
        <w:rPr>
          <w:rFonts w:hint="eastAsia" w:ascii="Cambria Math" w:hAnsi="Cambria Math"/>
        </w:rPr>
        <w:t>，进行输入通道参数设置。</w:t>
      </w:r>
    </w:p>
    <w:p w14:paraId="7E01B62C">
      <w:pPr>
        <w:pStyle w:val="15"/>
        <w:ind w:firstLine="480"/>
        <w:rPr>
          <w:rFonts w:ascii="Cambria Math" w:hAnsi="Cambria Math"/>
        </w:rPr>
      </w:pPr>
      <w:r>
        <w:rPr>
          <w:rFonts w:hint="eastAsia" w:ascii="Cambria Math" w:hAnsi="Cambria Math"/>
        </w:rPr>
        <w:t>除输入通道</w:t>
      </w:r>
      <w:r>
        <w:rPr>
          <w:rFonts w:ascii="Cambria Math" w:hAnsi="Cambria Math"/>
        </w:rPr>
        <w:t>1外，将其他输入通道的类型修改为“不用”。将输入通道2的类型修改为“不用”，然后点击“向下填充”按钮。</w:t>
      </w:r>
    </w:p>
    <w:p w14:paraId="13C5E533">
      <w:pPr>
        <w:pStyle w:val="15"/>
        <w:ind w:firstLine="0" w:firstLineChars="0"/>
        <w:jc w:val="center"/>
        <w:rPr>
          <w:rFonts w:ascii="Cambria Math" w:hAnsi="Cambria Math"/>
        </w:rPr>
      </w:pPr>
      <w:r>
        <w:drawing>
          <wp:inline distT="0" distB="0" distL="0" distR="0">
            <wp:extent cx="4060190" cy="26746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2"/>
                    <a:stretch>
                      <a:fillRect/>
                    </a:stretch>
                  </pic:blipFill>
                  <pic:spPr>
                    <a:xfrm>
                      <a:off x="0" y="0"/>
                      <a:ext cx="4060800" cy="2674800"/>
                    </a:xfrm>
                    <a:prstGeom prst="rect">
                      <a:avLst/>
                    </a:prstGeom>
                  </pic:spPr>
                </pic:pic>
              </a:graphicData>
            </a:graphic>
          </wp:inline>
        </w:drawing>
      </w:r>
    </w:p>
    <w:p w14:paraId="698E2BFD">
      <w:pPr>
        <w:pStyle w:val="15"/>
        <w:ind w:firstLine="480"/>
        <w:rPr>
          <w:rFonts w:ascii="Cambria Math" w:hAnsi="Cambria Math"/>
        </w:rPr>
      </w:pPr>
      <w:r>
        <w:rPr>
          <w:rFonts w:hint="eastAsia" w:ascii="Cambria Math" w:hAnsi="Cambria Math"/>
        </w:rPr>
        <w:t>由于分析仪输出的信号源为电压信号，将输入通道</w:t>
      </w:r>
      <w:r>
        <w:rPr>
          <w:rFonts w:ascii="Cambria Math" w:hAnsi="Cambria Math"/>
        </w:rPr>
        <w:t>1的通道参数设置为：</w:t>
      </w:r>
    </w:p>
    <w:p w14:paraId="1503A4B6">
      <w:pPr>
        <w:pStyle w:val="15"/>
        <w:ind w:firstLine="0" w:firstLineChars="0"/>
        <w:jc w:val="center"/>
        <w:rPr>
          <w:rFonts w:ascii="Cambria Math" w:hAnsi="Cambria Math"/>
        </w:rPr>
      </w:pPr>
      <w:r>
        <w:rPr>
          <w:rFonts w:hint="eastAsia" w:ascii="Cambria Math" w:hAnsi="Cambria Math"/>
        </w:rPr>
        <w:drawing>
          <wp:inline distT="0" distB="0" distL="0" distR="0">
            <wp:extent cx="5276850" cy="3905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76850" cy="390525"/>
                    </a:xfrm>
                    <a:prstGeom prst="rect">
                      <a:avLst/>
                    </a:prstGeom>
                    <a:noFill/>
                    <a:ln>
                      <a:noFill/>
                    </a:ln>
                  </pic:spPr>
                </pic:pic>
              </a:graphicData>
            </a:graphic>
          </wp:inline>
        </w:drawing>
      </w:r>
    </w:p>
    <w:p w14:paraId="5895BE09">
      <w:pPr>
        <w:pStyle w:val="15"/>
        <w:ind w:firstLine="480"/>
        <w:rPr>
          <w:rFonts w:ascii="Cambria Math" w:hAnsi="Cambria Math"/>
        </w:rPr>
      </w:pPr>
      <w:r>
        <w:rPr>
          <w:rFonts w:hint="eastAsia" w:ascii="Cambria Math" w:hAnsi="Cambria Math"/>
        </w:rPr>
        <w:t>在工具栏上点击</w:t>
      </w:r>
      <w:r>
        <w:rPr>
          <w:rFonts w:ascii="Cambria Math" w:hAnsi="Cambria Math"/>
        </w:rPr>
        <w:drawing>
          <wp:inline distT="0" distB="0" distL="0" distR="0">
            <wp:extent cx="167640" cy="140335"/>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4"/>
                    <a:stretch>
                      <a:fillRect/>
                    </a:stretch>
                  </pic:blipFill>
                  <pic:spPr>
                    <a:xfrm>
                      <a:off x="0" y="0"/>
                      <a:ext cx="176792" cy="148504"/>
                    </a:xfrm>
                    <a:prstGeom prst="rect">
                      <a:avLst/>
                    </a:prstGeom>
                  </pic:spPr>
                </pic:pic>
              </a:graphicData>
            </a:graphic>
          </wp:inline>
        </w:drawing>
      </w:r>
      <w:r>
        <w:rPr>
          <w:rFonts w:hint="eastAsia" w:ascii="Cambria Math" w:hAnsi="Cambria Math"/>
        </w:rPr>
        <w:t>，设置信号源。</w:t>
      </w:r>
    </w:p>
    <w:p w14:paraId="1DE9AECD">
      <w:pPr>
        <w:pStyle w:val="15"/>
        <w:ind w:firstLine="0" w:firstLineChars="0"/>
        <w:jc w:val="center"/>
        <w:rPr>
          <w:rFonts w:ascii="Cambria Math" w:hAnsi="Cambria Math"/>
        </w:rPr>
      </w:pPr>
      <w:r>
        <w:drawing>
          <wp:inline distT="0" distB="0" distL="0" distR="0">
            <wp:extent cx="4197350" cy="36322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5"/>
                    <a:stretch>
                      <a:fillRect/>
                    </a:stretch>
                  </pic:blipFill>
                  <pic:spPr>
                    <a:xfrm>
                      <a:off x="0" y="0"/>
                      <a:ext cx="4197600" cy="3632400"/>
                    </a:xfrm>
                    <a:prstGeom prst="rect">
                      <a:avLst/>
                    </a:prstGeom>
                  </pic:spPr>
                </pic:pic>
              </a:graphicData>
            </a:graphic>
          </wp:inline>
        </w:drawing>
      </w:r>
    </w:p>
    <w:p w14:paraId="7B8E45E9">
      <w:pPr>
        <w:pStyle w:val="15"/>
        <w:ind w:firstLine="480"/>
        <w:rPr>
          <w:rFonts w:ascii="Cambria Math" w:hAnsi="Cambria Math"/>
        </w:rPr>
      </w:pPr>
      <w:r>
        <w:rPr>
          <w:rFonts w:hint="eastAsia" w:ascii="Cambria Math" w:hAnsi="Cambria Math"/>
        </w:rPr>
        <w:t>在工具栏上点击</w:t>
      </w:r>
      <w:r>
        <w:rPr>
          <w:rFonts w:ascii="Cambria Math" w:hAnsi="Cambria Math"/>
        </w:rPr>
        <w:drawing>
          <wp:inline distT="0" distB="0" distL="0" distR="0">
            <wp:extent cx="167640" cy="158750"/>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3"/>
                    <a:stretch>
                      <a:fillRect/>
                    </a:stretch>
                  </pic:blipFill>
                  <pic:spPr>
                    <a:xfrm>
                      <a:off x="0" y="0"/>
                      <a:ext cx="183926" cy="174729"/>
                    </a:xfrm>
                    <a:prstGeom prst="rect">
                      <a:avLst/>
                    </a:prstGeom>
                  </pic:spPr>
                </pic:pic>
              </a:graphicData>
            </a:graphic>
          </wp:inline>
        </w:drawing>
      </w:r>
      <w:r>
        <w:rPr>
          <w:rFonts w:hint="eastAsia" w:ascii="Cambria Math" w:hAnsi="Cambria Math"/>
        </w:rPr>
        <w:t>，进行分析参数设置。</w:t>
      </w:r>
    </w:p>
    <w:p w14:paraId="1ED646F3">
      <w:pPr>
        <w:pStyle w:val="15"/>
        <w:ind w:firstLine="480"/>
        <w:rPr>
          <w:rFonts w:ascii="Cambria Math" w:hAnsi="Cambria Math"/>
        </w:rPr>
      </w:pPr>
      <w:r>
        <w:rPr>
          <w:rFonts w:hint="eastAsia" w:ascii="Cambria Math" w:hAnsi="Cambria Math"/>
        </w:rPr>
        <w:t>设置</w:t>
      </w:r>
      <w:r>
        <w:rPr>
          <w:rFonts w:ascii="Cambria Math" w:hAnsi="Cambria Math"/>
        </w:rPr>
        <w:t>样</w:t>
      </w:r>
      <w:r>
        <w:rPr>
          <w:rFonts w:hint="eastAsia" w:ascii="Cambria Math" w:hAnsi="Cambria Math"/>
        </w:rPr>
        <w:t>点数</w:t>
      </w:r>
      <w:r>
        <w:rPr>
          <w:rFonts w:ascii="Cambria Math" w:hAnsi="Cambria Math"/>
        </w:rPr>
        <w:t>：2048、采样频率1</w:t>
      </w:r>
      <w:r>
        <w:rPr>
          <w:rFonts w:hint="eastAsia" w:ascii="Cambria Math" w:hAnsi="Cambria Math"/>
        </w:rPr>
        <w:t>024</w:t>
      </w:r>
      <w:r>
        <w:rPr>
          <w:rFonts w:ascii="Cambria Math" w:hAnsi="Cambria Math"/>
        </w:rPr>
        <w:t>0Hz、加窗类型：Hanning、不平均、无触发、自由运行、不延时。</w:t>
      </w:r>
    </w:p>
    <w:p w14:paraId="25BF9BC6">
      <w:pPr>
        <w:pStyle w:val="15"/>
        <w:ind w:firstLine="0" w:firstLineChars="0"/>
        <w:jc w:val="center"/>
        <w:rPr>
          <w:rFonts w:ascii="Cambria Math" w:hAnsi="Cambria Math"/>
        </w:rPr>
      </w:pPr>
      <w:r>
        <w:drawing>
          <wp:inline distT="0" distB="0" distL="0" distR="0">
            <wp:extent cx="2926715" cy="3552825"/>
            <wp:effectExtent l="0" t="0" r="698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6"/>
                    <a:stretch>
                      <a:fillRect/>
                    </a:stretch>
                  </pic:blipFill>
                  <pic:spPr>
                    <a:xfrm>
                      <a:off x="0" y="0"/>
                      <a:ext cx="2926800" cy="3553200"/>
                    </a:xfrm>
                    <a:prstGeom prst="rect">
                      <a:avLst/>
                    </a:prstGeom>
                  </pic:spPr>
                </pic:pic>
              </a:graphicData>
            </a:graphic>
          </wp:inline>
        </w:drawing>
      </w:r>
    </w:p>
    <w:p w14:paraId="54829C31">
      <w:pPr>
        <w:pStyle w:val="15"/>
        <w:ind w:firstLine="480"/>
      </w:pPr>
      <w:r>
        <w:t>软件中</w:t>
      </w:r>
      <w:r>
        <w:rPr>
          <w:rFonts w:hint="eastAsia"/>
        </w:rPr>
        <w:t>，采样点数和分析谱线是2.56倍的关系，采样频率和分析频宽是2.56倍的关系。设置时只需要确定一组中的一个，另一个就确定了。</w:t>
      </w:r>
    </w:p>
    <w:p w14:paraId="452F1620">
      <w:pPr>
        <w:pStyle w:val="15"/>
        <w:ind w:firstLine="480"/>
        <w:rPr>
          <w:rFonts w:ascii="Cambria Math" w:hAnsi="Cambria Math"/>
        </w:rPr>
      </w:pPr>
      <w:r>
        <w:rPr>
          <w:rFonts w:hint="eastAsia" w:ascii="Cambria Math" w:hAnsi="Cambria Math"/>
        </w:rPr>
        <w:t>在工具栏上点击</w:t>
      </w:r>
      <w:r>
        <w:rPr>
          <w:rFonts w:ascii="Cambria Math" w:hAnsi="Cambria Math"/>
        </w:rPr>
        <w:drawing>
          <wp:inline distT="0" distB="0" distL="0" distR="0">
            <wp:extent cx="200660" cy="193040"/>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7"/>
                    <a:stretch>
                      <a:fillRect/>
                    </a:stretch>
                  </pic:blipFill>
                  <pic:spPr>
                    <a:xfrm>
                      <a:off x="0" y="0"/>
                      <a:ext cx="214312" cy="206071"/>
                    </a:xfrm>
                    <a:prstGeom prst="rect">
                      <a:avLst/>
                    </a:prstGeom>
                  </pic:spPr>
                </pic:pic>
              </a:graphicData>
            </a:graphic>
          </wp:inline>
        </w:drawing>
      </w:r>
      <w:r>
        <w:rPr>
          <w:rFonts w:hint="eastAsia" w:ascii="Cambria Math" w:hAnsi="Cambria Math"/>
        </w:rPr>
        <w:t>，选择测试内容。</w:t>
      </w:r>
    </w:p>
    <w:p w14:paraId="484CE229">
      <w:pPr>
        <w:pStyle w:val="15"/>
        <w:ind w:firstLine="480"/>
        <w:rPr>
          <w:rFonts w:ascii="Cambria Math" w:hAnsi="Cambria Math"/>
        </w:rPr>
      </w:pPr>
      <w:r>
        <w:rPr>
          <w:rFonts w:hint="eastAsia" w:ascii="Cambria Math" w:hAnsi="Cambria Math"/>
        </w:rPr>
        <w:t>点击自相关函数</w:t>
      </w:r>
      <w:r>
        <w:rPr>
          <w:rFonts w:ascii="Cambria Math" w:hAnsi="Cambria Math"/>
        </w:rPr>
        <w:drawing>
          <wp:inline distT="0" distB="0" distL="0" distR="0">
            <wp:extent cx="838200" cy="1333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8"/>
                    <a:stretch>
                      <a:fillRect/>
                    </a:stretch>
                  </pic:blipFill>
                  <pic:spPr>
                    <a:xfrm>
                      <a:off x="0" y="0"/>
                      <a:ext cx="968390" cy="154256"/>
                    </a:xfrm>
                    <a:prstGeom prst="rect">
                      <a:avLst/>
                    </a:prstGeom>
                  </pic:spPr>
                </pic:pic>
              </a:graphicData>
            </a:graphic>
          </wp:inline>
        </w:drawing>
      </w:r>
      <w:r>
        <w:rPr>
          <w:rFonts w:hint="eastAsia" w:ascii="Cambria Math" w:hAnsi="Cambria Math"/>
        </w:rPr>
        <w:t>后，点击编辑按钮</w:t>
      </w:r>
      <w:r>
        <w:rPr>
          <w:rFonts w:ascii="Cambria Math" w:hAnsi="Cambria Math"/>
        </w:rPr>
        <w:drawing>
          <wp:inline distT="0" distB="0" distL="0" distR="0">
            <wp:extent cx="624840" cy="14224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9"/>
                    <a:stretch>
                      <a:fillRect/>
                    </a:stretch>
                  </pic:blipFill>
                  <pic:spPr>
                    <a:xfrm>
                      <a:off x="0" y="0"/>
                      <a:ext cx="689736" cy="157308"/>
                    </a:xfrm>
                    <a:prstGeom prst="rect">
                      <a:avLst/>
                    </a:prstGeom>
                  </pic:spPr>
                </pic:pic>
              </a:graphicData>
            </a:graphic>
          </wp:inline>
        </w:drawing>
      </w:r>
      <w:r>
        <w:rPr>
          <w:rFonts w:hint="eastAsia" w:ascii="Cambria Math" w:hAnsi="Cambria Math"/>
        </w:rPr>
        <w:t>，出现如下界面。</w:t>
      </w:r>
    </w:p>
    <w:p w14:paraId="31B5D898">
      <w:pPr>
        <w:pStyle w:val="15"/>
        <w:ind w:firstLine="0" w:firstLineChars="0"/>
        <w:jc w:val="center"/>
        <w:rPr>
          <w:rFonts w:ascii="Cambria Math" w:hAnsi="Cambria Math"/>
        </w:rPr>
      </w:pPr>
      <w:r>
        <w:rPr>
          <w:rFonts w:ascii="Cambria Math" w:hAnsi="Cambria Math"/>
        </w:rPr>
        <w:drawing>
          <wp:inline distT="0" distB="0" distL="0" distR="0">
            <wp:extent cx="3314700" cy="2031365"/>
            <wp:effectExtent l="0" t="0" r="0" b="698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346164" cy="2051155"/>
                    </a:xfrm>
                    <a:prstGeom prst="rect">
                      <a:avLst/>
                    </a:prstGeom>
                    <a:noFill/>
                    <a:ln>
                      <a:noFill/>
                    </a:ln>
                  </pic:spPr>
                </pic:pic>
              </a:graphicData>
            </a:graphic>
          </wp:inline>
        </w:drawing>
      </w:r>
    </w:p>
    <w:p w14:paraId="1FC88717">
      <w:pPr>
        <w:pStyle w:val="15"/>
        <w:ind w:firstLine="480"/>
        <w:rPr>
          <w:rFonts w:ascii="Cambria Math" w:hAnsi="Cambria Math"/>
        </w:rPr>
      </w:pPr>
      <w:r>
        <w:rPr>
          <w:rFonts w:hint="eastAsia" w:ascii="Cambria Math" w:hAnsi="Cambria Math"/>
        </w:rPr>
        <w:t>点击通道1，使通道1变为</w:t>
      </w:r>
      <w:r>
        <w:rPr>
          <w:rFonts w:ascii="Cambria Math" w:hAnsi="Cambria Math"/>
        </w:rPr>
        <w:drawing>
          <wp:inline distT="0" distB="0" distL="0" distR="0">
            <wp:extent cx="220980" cy="130175"/>
            <wp:effectExtent l="0" t="0" r="762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71"/>
                    <a:stretch>
                      <a:fillRect/>
                    </a:stretch>
                  </pic:blipFill>
                  <pic:spPr>
                    <a:xfrm>
                      <a:off x="0" y="0"/>
                      <a:ext cx="233124" cy="137484"/>
                    </a:xfrm>
                    <a:prstGeom prst="rect">
                      <a:avLst/>
                    </a:prstGeom>
                  </pic:spPr>
                </pic:pic>
              </a:graphicData>
            </a:graphic>
          </wp:inline>
        </w:drawing>
      </w:r>
      <w:r>
        <w:rPr>
          <w:rFonts w:hint="eastAsia" w:ascii="Cambria Math" w:hAnsi="Cambria Math"/>
        </w:rPr>
        <w:t>，即通道1的自相关函数已被选中。</w:t>
      </w:r>
    </w:p>
    <w:p w14:paraId="4FB7FEA7">
      <w:pPr>
        <w:pStyle w:val="15"/>
        <w:numPr>
          <w:ilvl w:val="0"/>
          <w:numId w:val="27"/>
        </w:numPr>
        <w:ind w:left="426" w:firstLineChars="0"/>
        <w:outlineLvl w:val="2"/>
      </w:pPr>
      <w:r>
        <w:rPr>
          <w:rFonts w:hint="eastAsia"/>
        </w:rPr>
        <w:t>数据采集</w:t>
      </w:r>
    </w:p>
    <w:p w14:paraId="2870075C">
      <w:pPr>
        <w:pStyle w:val="15"/>
        <w:ind w:firstLine="480"/>
        <w:rPr>
          <w:rFonts w:ascii="Cambria Math" w:hAnsi="Cambria Math"/>
        </w:rPr>
      </w:pPr>
      <w:r>
        <w:rPr>
          <w:rFonts w:hint="eastAsia" w:ascii="Cambria Math" w:hAnsi="Cambria Math"/>
        </w:rPr>
        <w:t>实验数据显示：默认的时频显示1为上、下双窗格。在窗格中单击鼠标右键，在弹出的右键菜单中选择“增加列”，就变为2*2四窗格。分别将左侧函数面板的四个函数</w:t>
      </w:r>
      <w:r>
        <w:rPr>
          <w:rFonts w:ascii="Cambria Math" w:hAnsi="Cambria Math"/>
        </w:rPr>
        <w:t>Input1(t)、FFT1(f)、G1,1(f)、R1,1（t）分别拖入四个</w:t>
      </w:r>
      <w:r>
        <w:rPr>
          <w:rFonts w:hint="eastAsia" w:ascii="Cambria Math" w:hAnsi="Cambria Math"/>
        </w:rPr>
        <w:t>窗格</w:t>
      </w:r>
      <w:r>
        <w:rPr>
          <w:rFonts w:ascii="Cambria Math" w:hAnsi="Cambria Math"/>
        </w:rPr>
        <w:t>中：</w:t>
      </w:r>
    </w:p>
    <w:p w14:paraId="11F930E2">
      <w:pPr>
        <w:pStyle w:val="15"/>
        <w:ind w:firstLine="0" w:firstLineChars="0"/>
        <w:jc w:val="center"/>
      </w:pPr>
      <w:r>
        <w:rPr>
          <w:rFonts w:ascii="Cambria Math" w:hAnsi="Cambria Math"/>
        </w:rPr>
        <w:drawing>
          <wp:inline distT="0" distB="0" distL="0" distR="0">
            <wp:extent cx="1165225" cy="11811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72"/>
                    <a:stretch>
                      <a:fillRect/>
                    </a:stretch>
                  </pic:blipFill>
                  <pic:spPr>
                    <a:xfrm>
                      <a:off x="0" y="0"/>
                      <a:ext cx="1184706" cy="1200607"/>
                    </a:xfrm>
                    <a:prstGeom prst="rect">
                      <a:avLst/>
                    </a:prstGeom>
                  </pic:spPr>
                </pic:pic>
              </a:graphicData>
            </a:graphic>
          </wp:inline>
        </w:drawing>
      </w:r>
    </w:p>
    <w:p w14:paraId="1502DD68">
      <w:pPr>
        <w:pStyle w:val="15"/>
        <w:ind w:firstLine="0" w:firstLineChars="0"/>
        <w:jc w:val="center"/>
        <w:rPr>
          <w:rFonts w:ascii="Cambria Math" w:hAnsi="Cambria Math"/>
        </w:rPr>
      </w:pPr>
      <w:r>
        <w:rPr>
          <w:rFonts w:ascii="Cambria Math" w:hAnsi="Cambria Math"/>
        </w:rPr>
        <w:drawing>
          <wp:inline distT="0" distB="0" distL="0" distR="0">
            <wp:extent cx="4008120" cy="2472055"/>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73"/>
                    <a:stretch>
                      <a:fillRect/>
                    </a:stretch>
                  </pic:blipFill>
                  <pic:spPr>
                    <a:xfrm>
                      <a:off x="0" y="0"/>
                      <a:ext cx="4028773" cy="2485364"/>
                    </a:xfrm>
                    <a:prstGeom prst="rect">
                      <a:avLst/>
                    </a:prstGeom>
                  </pic:spPr>
                </pic:pic>
              </a:graphicData>
            </a:graphic>
          </wp:inline>
        </w:drawing>
      </w:r>
    </w:p>
    <w:p w14:paraId="3423FE07">
      <w:pPr>
        <w:pStyle w:val="15"/>
        <w:ind w:firstLine="480"/>
        <w:rPr>
          <w:rFonts w:ascii="Cambria Math" w:hAnsi="Cambria Math"/>
        </w:rPr>
      </w:pPr>
      <w:r>
        <w:rPr>
          <w:rFonts w:hint="eastAsia" w:ascii="Cambria Math" w:hAnsi="Cambria Math"/>
        </w:rPr>
        <w:t>再次确认试验连接线和参数设置。</w:t>
      </w:r>
    </w:p>
    <w:p w14:paraId="248D46F5">
      <w:pPr>
        <w:pStyle w:val="15"/>
        <w:ind w:firstLine="480"/>
        <w:rPr>
          <w:rFonts w:ascii="Cambria Math" w:hAnsi="Cambria Math"/>
        </w:rPr>
      </w:pPr>
      <w:r>
        <w:rPr>
          <w:rFonts w:hint="eastAsia" w:ascii="Cambria Math" w:hAnsi="Cambria Math"/>
        </w:rPr>
        <w:t>点击</w:t>
      </w:r>
      <w:r>
        <w:rPr>
          <w:rFonts w:ascii="Cambria Math" w:hAnsi="Cambria Math"/>
        </w:rPr>
        <w:drawing>
          <wp:inline distT="0" distB="0" distL="0" distR="0">
            <wp:extent cx="182880" cy="182880"/>
            <wp:effectExtent l="0" t="0" r="762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4" cstate="print"/>
                    <a:stretch>
                      <a:fillRect/>
                    </a:stretch>
                  </pic:blipFill>
                  <pic:spPr>
                    <a:xfrm flipV="1">
                      <a:off x="0" y="0"/>
                      <a:ext cx="182880" cy="182880"/>
                    </a:xfrm>
                    <a:prstGeom prst="rect">
                      <a:avLst/>
                    </a:prstGeom>
                  </pic:spPr>
                </pic:pic>
              </a:graphicData>
            </a:graphic>
          </wp:inline>
        </w:drawing>
      </w:r>
      <w:r>
        <w:rPr>
          <w:rFonts w:hint="eastAsia" w:ascii="Cambria Math" w:hAnsi="Cambria Math"/>
        </w:rPr>
        <w:t>按钮，同时打开信号源</w:t>
      </w:r>
      <w:r>
        <w:rPr>
          <w:rFonts w:ascii="Cambria Math" w:hAnsi="Cambria Math"/>
        </w:rPr>
        <w:drawing>
          <wp:inline distT="0" distB="0" distL="0" distR="0">
            <wp:extent cx="177165" cy="17716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75" cstate="print"/>
                    <a:stretch>
                      <a:fillRect/>
                    </a:stretch>
                  </pic:blipFill>
                  <pic:spPr>
                    <a:xfrm flipV="1">
                      <a:off x="0" y="0"/>
                      <a:ext cx="177165" cy="177165"/>
                    </a:xfrm>
                    <a:prstGeom prst="rect">
                      <a:avLst/>
                    </a:prstGeom>
                  </pic:spPr>
                </pic:pic>
              </a:graphicData>
            </a:graphic>
          </wp:inline>
        </w:drawing>
      </w:r>
      <w:r>
        <w:rPr>
          <w:rFonts w:hint="eastAsia" w:ascii="Cambria Math" w:hAnsi="Cambria Math"/>
        </w:rPr>
        <w:t>，记录采集到的信号。</w:t>
      </w:r>
    </w:p>
    <w:p w14:paraId="594792AC">
      <w:pPr>
        <w:pStyle w:val="15"/>
        <w:ind w:firstLine="480"/>
        <w:rPr>
          <w:rFonts w:ascii="Cambria Math" w:hAnsi="Cambria Math"/>
        </w:rPr>
      </w:pPr>
      <w:r>
        <w:rPr>
          <w:rFonts w:hint="eastAsia" w:ascii="Cambria Math" w:hAnsi="Cambria Math"/>
        </w:rPr>
        <w:t>如果想查看概率密度函数，测试内容中可打开对应通道的柱状图；另外测试内容中的信号还包括互功率谱、互相关、频率响应、相干等，可以根据需要去打开。</w:t>
      </w:r>
    </w:p>
    <w:p w14:paraId="7CDC50DD">
      <w:pPr>
        <w:pStyle w:val="15"/>
        <w:numPr>
          <w:ilvl w:val="0"/>
          <w:numId w:val="27"/>
        </w:numPr>
        <w:ind w:left="426" w:firstLineChars="0"/>
        <w:outlineLvl w:val="2"/>
      </w:pPr>
      <w:r>
        <w:rPr>
          <w:rFonts w:hint="eastAsia"/>
        </w:rPr>
        <w:t>混迭试验</w:t>
      </w:r>
    </w:p>
    <w:p w14:paraId="38E4EA07">
      <w:pPr>
        <w:pStyle w:val="15"/>
        <w:ind w:firstLine="480"/>
        <w:rPr>
          <w:rFonts w:ascii="Cambria Math" w:hAnsi="Cambria Math"/>
        </w:rPr>
      </w:pPr>
      <w:r>
        <w:rPr>
          <w:rFonts w:hint="eastAsia" w:ascii="Cambria Math" w:hAnsi="Cambria Math"/>
        </w:rPr>
        <w:t>在工具栏上点击</w:t>
      </w:r>
      <w:r>
        <w:rPr>
          <w:rFonts w:ascii="Cambria Math" w:hAnsi="Cambria Math"/>
        </w:rPr>
        <w:drawing>
          <wp:inline distT="0" distB="0" distL="0" distR="0">
            <wp:extent cx="200025" cy="167640"/>
            <wp:effectExtent l="0" t="0" r="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4"/>
                    <a:stretch>
                      <a:fillRect/>
                    </a:stretch>
                  </pic:blipFill>
                  <pic:spPr>
                    <a:xfrm>
                      <a:off x="0" y="0"/>
                      <a:ext cx="215070" cy="180657"/>
                    </a:xfrm>
                    <a:prstGeom prst="rect">
                      <a:avLst/>
                    </a:prstGeom>
                  </pic:spPr>
                </pic:pic>
              </a:graphicData>
            </a:graphic>
          </wp:inline>
        </w:drawing>
      </w:r>
      <w:r>
        <w:rPr>
          <w:rFonts w:hint="eastAsia" w:ascii="Cambria Math" w:hAnsi="Cambria Math"/>
        </w:rPr>
        <w:t>，设置信号源。</w:t>
      </w:r>
    </w:p>
    <w:p w14:paraId="34E10F12">
      <w:pPr>
        <w:pStyle w:val="15"/>
        <w:ind w:firstLine="0" w:firstLineChars="0"/>
        <w:jc w:val="center"/>
        <w:rPr>
          <w:rFonts w:ascii="Cambria Math" w:hAnsi="Cambria Math"/>
        </w:rPr>
      </w:pPr>
      <w:r>
        <w:drawing>
          <wp:inline distT="0" distB="0" distL="0" distR="0">
            <wp:extent cx="4197350" cy="36322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6"/>
                    <a:stretch>
                      <a:fillRect/>
                    </a:stretch>
                  </pic:blipFill>
                  <pic:spPr>
                    <a:xfrm>
                      <a:off x="0" y="0"/>
                      <a:ext cx="4197600" cy="3632400"/>
                    </a:xfrm>
                    <a:prstGeom prst="rect">
                      <a:avLst/>
                    </a:prstGeom>
                  </pic:spPr>
                </pic:pic>
              </a:graphicData>
            </a:graphic>
          </wp:inline>
        </w:drawing>
      </w:r>
    </w:p>
    <w:p w14:paraId="66DBECF8">
      <w:pPr>
        <w:pStyle w:val="15"/>
        <w:ind w:firstLine="480"/>
        <w:rPr>
          <w:rFonts w:ascii="Cambria Math" w:hAnsi="Cambria Math"/>
        </w:rPr>
      </w:pPr>
      <w:r>
        <w:rPr>
          <w:rFonts w:hint="eastAsia" w:ascii="Cambria Math" w:hAnsi="Cambria Math"/>
        </w:rPr>
        <w:t>在工具栏上点击</w:t>
      </w:r>
      <w:r>
        <w:rPr>
          <w:rFonts w:ascii="Cambria Math" w:hAnsi="Cambria Math"/>
        </w:rPr>
        <w:drawing>
          <wp:inline distT="0" distB="0" distL="0" distR="0">
            <wp:extent cx="177165" cy="168275"/>
            <wp:effectExtent l="0" t="0" r="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3"/>
                    <a:stretch>
                      <a:fillRect/>
                    </a:stretch>
                  </pic:blipFill>
                  <pic:spPr>
                    <a:xfrm>
                      <a:off x="0" y="0"/>
                      <a:ext cx="187826" cy="178434"/>
                    </a:xfrm>
                    <a:prstGeom prst="rect">
                      <a:avLst/>
                    </a:prstGeom>
                  </pic:spPr>
                </pic:pic>
              </a:graphicData>
            </a:graphic>
          </wp:inline>
        </w:drawing>
      </w:r>
      <w:r>
        <w:rPr>
          <w:rFonts w:hint="eastAsia" w:ascii="Cambria Math" w:hAnsi="Cambria Math"/>
        </w:rPr>
        <w:t>，进行分析参数设置。</w:t>
      </w:r>
    </w:p>
    <w:p w14:paraId="134D9FE2">
      <w:pPr>
        <w:pStyle w:val="15"/>
        <w:numPr>
          <w:ilvl w:val="0"/>
          <w:numId w:val="28"/>
        </w:numPr>
        <w:ind w:left="851" w:firstLineChars="0"/>
      </w:pPr>
      <w:r>
        <w:rPr>
          <w:rFonts w:hint="eastAsia"/>
        </w:rPr>
        <w:t>设置</w:t>
      </w:r>
      <w:r>
        <w:t>采样</w:t>
      </w:r>
      <w:r>
        <w:rPr>
          <w:rFonts w:hint="eastAsia"/>
        </w:rPr>
        <w:t>点数</w:t>
      </w:r>
      <w:r>
        <w:t>：2048、采样频率1</w:t>
      </w:r>
      <w:r>
        <w:rPr>
          <w:rFonts w:hint="eastAsia"/>
        </w:rPr>
        <w:t>024</w:t>
      </w:r>
      <w:r>
        <w:t>0Hz、加窗类型：Hanning、不平均、无触发、自由运行、不延时。</w:t>
      </w:r>
    </w:p>
    <w:p w14:paraId="5C35DCEC">
      <w:pPr>
        <w:pStyle w:val="15"/>
        <w:ind w:firstLine="0" w:firstLineChars="0"/>
        <w:jc w:val="center"/>
      </w:pPr>
      <w:r>
        <w:drawing>
          <wp:inline distT="0" distB="0" distL="0" distR="0">
            <wp:extent cx="2926715" cy="3552825"/>
            <wp:effectExtent l="0" t="0" r="698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6"/>
                    <a:stretch>
                      <a:fillRect/>
                    </a:stretch>
                  </pic:blipFill>
                  <pic:spPr>
                    <a:xfrm>
                      <a:off x="0" y="0"/>
                      <a:ext cx="2926800" cy="3553200"/>
                    </a:xfrm>
                    <a:prstGeom prst="rect">
                      <a:avLst/>
                    </a:prstGeom>
                  </pic:spPr>
                </pic:pic>
              </a:graphicData>
            </a:graphic>
          </wp:inline>
        </w:drawing>
      </w:r>
    </w:p>
    <w:p w14:paraId="50CFDC9D">
      <w:pPr>
        <w:pStyle w:val="15"/>
        <w:numPr>
          <w:ilvl w:val="0"/>
          <w:numId w:val="28"/>
        </w:numPr>
        <w:ind w:left="851" w:firstLineChars="0"/>
      </w:pPr>
      <w:r>
        <w:rPr>
          <w:rFonts w:hint="eastAsia"/>
        </w:rPr>
        <w:t>设置</w:t>
      </w:r>
      <w:r>
        <w:t>采样</w:t>
      </w:r>
      <w:r>
        <w:rPr>
          <w:rFonts w:hint="eastAsia"/>
        </w:rPr>
        <w:t>点数</w:t>
      </w:r>
      <w:r>
        <w:t>：</w:t>
      </w:r>
      <w:r>
        <w:rPr>
          <w:rFonts w:hint="eastAsia"/>
        </w:rPr>
        <w:t>4096</w:t>
      </w:r>
      <w:r>
        <w:t>、采样频率</w:t>
      </w:r>
      <w:r>
        <w:rPr>
          <w:rFonts w:hint="eastAsia"/>
        </w:rPr>
        <w:t>：</w:t>
      </w:r>
      <w:r>
        <w:t>16</w:t>
      </w:r>
      <w:r>
        <w:rPr>
          <w:rFonts w:hint="eastAsia"/>
        </w:rPr>
        <w:t>384</w:t>
      </w:r>
      <w:r>
        <w:t>0Hz Hz、加窗类型：Hanning、不平均、无触发、自由运行、不延时。</w:t>
      </w:r>
    </w:p>
    <w:p w14:paraId="4D37C16D">
      <w:pPr>
        <w:pStyle w:val="15"/>
        <w:ind w:firstLine="0" w:firstLineChars="0"/>
        <w:jc w:val="center"/>
      </w:pPr>
      <w:r>
        <w:drawing>
          <wp:inline distT="0" distB="0" distL="0" distR="0">
            <wp:extent cx="2926715" cy="3552825"/>
            <wp:effectExtent l="0" t="0" r="698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77"/>
                    <a:stretch>
                      <a:fillRect/>
                    </a:stretch>
                  </pic:blipFill>
                  <pic:spPr>
                    <a:xfrm>
                      <a:off x="0" y="0"/>
                      <a:ext cx="2926800" cy="3553200"/>
                    </a:xfrm>
                    <a:prstGeom prst="rect">
                      <a:avLst/>
                    </a:prstGeom>
                  </pic:spPr>
                </pic:pic>
              </a:graphicData>
            </a:graphic>
          </wp:inline>
        </w:drawing>
      </w:r>
    </w:p>
    <w:p w14:paraId="15EABA3D">
      <w:pPr>
        <w:pStyle w:val="15"/>
        <w:ind w:firstLine="480"/>
      </w:pPr>
      <w:r>
        <w:rPr>
          <w:rFonts w:hint="eastAsia" w:ascii="Cambria Math" w:hAnsi="Cambria Math"/>
        </w:rPr>
        <w:t>试验数据显示：默认的时频显示1为上、下双窗格。在上窗格中鼠标右键单击，在弹出的右键菜单中选择“显示设置”。在“显示设置”对话框中选择 “</w:t>
      </w:r>
      <w:r>
        <w:rPr>
          <w:rFonts w:ascii="Cambria Math" w:hAnsi="Cambria Math"/>
        </w:rPr>
        <w:t>Input1</w:t>
      </w:r>
      <w:r>
        <w:rPr>
          <w:rFonts w:hint="eastAsia" w:ascii="Cambria Math" w:hAnsi="Cambria Math"/>
        </w:rPr>
        <w:t>(</w:t>
      </w:r>
      <w:r>
        <w:rPr>
          <w:rFonts w:ascii="Cambria Math" w:hAnsi="Cambria Math"/>
        </w:rPr>
        <w:t>t</w:t>
      </w:r>
      <w:r>
        <w:rPr>
          <w:rFonts w:hint="eastAsia" w:ascii="Cambria Math" w:hAnsi="Cambria Math"/>
        </w:rPr>
        <w:t>)”，</w:t>
      </w:r>
      <w:r>
        <w:rPr>
          <w:rFonts w:ascii="Cambria Math" w:hAnsi="Cambria Math"/>
        </w:rPr>
        <w:t>在上窗格显示时域信号。</w:t>
      </w:r>
      <w:r>
        <w:t>同样操作，在下窗格选择</w:t>
      </w:r>
      <w:r>
        <w:rPr>
          <w:rFonts w:hint="eastAsia"/>
        </w:rPr>
        <w:t>“</w:t>
      </w:r>
      <w:r>
        <w:t>FFT1(f)</w:t>
      </w:r>
      <w:r>
        <w:rPr>
          <w:rFonts w:hint="eastAsia"/>
        </w:rPr>
        <w:t>”</w:t>
      </w:r>
      <w:r>
        <w:t>，显示频谱函数。</w:t>
      </w:r>
      <w:r>
        <w:rPr>
          <w:rFonts w:hint="eastAsia"/>
        </w:rPr>
        <w:t>或者是直接从左侧“函数”栏中，将对应的信号拖到右侧窗格中显示。</w:t>
      </w:r>
    </w:p>
    <w:p w14:paraId="3EA0A2E3">
      <w:pPr>
        <w:pStyle w:val="15"/>
        <w:ind w:firstLine="0" w:firstLineChars="0"/>
        <w:jc w:val="center"/>
        <w:rPr>
          <w:rFonts w:ascii="Cambria Math" w:hAnsi="Cambria Math"/>
        </w:rPr>
      </w:pPr>
      <w:r>
        <w:rPr>
          <w:rFonts w:ascii="Cambria Math" w:hAnsi="Cambria Math"/>
        </w:rPr>
        <w:drawing>
          <wp:inline distT="0" distB="0" distL="0" distR="0">
            <wp:extent cx="2133600" cy="242443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8"/>
                    <a:stretch>
                      <a:fillRect/>
                    </a:stretch>
                  </pic:blipFill>
                  <pic:spPr>
                    <a:xfrm>
                      <a:off x="0" y="0"/>
                      <a:ext cx="2163295" cy="2458644"/>
                    </a:xfrm>
                    <a:prstGeom prst="rect">
                      <a:avLst/>
                    </a:prstGeom>
                  </pic:spPr>
                </pic:pic>
              </a:graphicData>
            </a:graphic>
          </wp:inline>
        </w:drawing>
      </w:r>
      <w:r>
        <w:rPr>
          <w:rFonts w:ascii="Cambria Math" w:hAnsi="Cambria Math"/>
        </w:rPr>
        <w:drawing>
          <wp:inline distT="0" distB="0" distL="0" distR="0">
            <wp:extent cx="2133600" cy="242443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9"/>
                    <a:stretch>
                      <a:fillRect/>
                    </a:stretch>
                  </pic:blipFill>
                  <pic:spPr>
                    <a:xfrm>
                      <a:off x="0" y="0"/>
                      <a:ext cx="2153939" cy="2448010"/>
                    </a:xfrm>
                    <a:prstGeom prst="rect">
                      <a:avLst/>
                    </a:prstGeom>
                  </pic:spPr>
                </pic:pic>
              </a:graphicData>
            </a:graphic>
          </wp:inline>
        </w:drawing>
      </w:r>
    </w:p>
    <w:p w14:paraId="15B3216A">
      <w:pPr>
        <w:pStyle w:val="15"/>
        <w:ind w:firstLine="0" w:firstLineChars="0"/>
        <w:jc w:val="center"/>
        <w:rPr>
          <w:rFonts w:ascii="Cambria Math" w:hAnsi="Cambria Math"/>
        </w:rPr>
      </w:pPr>
      <w:r>
        <w:rPr>
          <w:rFonts w:ascii="Cambria Math" w:hAnsi="Cambria Math"/>
        </w:rPr>
        <w:drawing>
          <wp:inline distT="0" distB="0" distL="0" distR="0">
            <wp:extent cx="4178300" cy="2565400"/>
            <wp:effectExtent l="0" t="0" r="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80"/>
                    <a:stretch>
                      <a:fillRect/>
                    </a:stretch>
                  </pic:blipFill>
                  <pic:spPr>
                    <a:xfrm>
                      <a:off x="0" y="0"/>
                      <a:ext cx="4189245" cy="2572255"/>
                    </a:xfrm>
                    <a:prstGeom prst="rect">
                      <a:avLst/>
                    </a:prstGeom>
                  </pic:spPr>
                </pic:pic>
              </a:graphicData>
            </a:graphic>
          </wp:inline>
        </w:drawing>
      </w:r>
    </w:p>
    <w:p w14:paraId="3AA2DF1E">
      <w:pPr>
        <w:pStyle w:val="15"/>
        <w:ind w:firstLine="480"/>
        <w:rPr>
          <w:rFonts w:ascii="Cambria Math" w:hAnsi="Cambria Math"/>
        </w:rPr>
      </w:pPr>
      <w:r>
        <w:rPr>
          <w:rFonts w:hint="eastAsia" w:ascii="Cambria Math" w:hAnsi="Cambria Math"/>
        </w:rPr>
        <w:t>再次确认试验连线和参数设置。</w:t>
      </w:r>
    </w:p>
    <w:p w14:paraId="382AFE21">
      <w:pPr>
        <w:pStyle w:val="15"/>
        <w:ind w:firstLine="480"/>
        <w:rPr>
          <w:rFonts w:ascii="Cambria Math" w:hAnsi="Cambria Math"/>
        </w:rPr>
      </w:pPr>
      <w:r>
        <w:rPr>
          <w:rFonts w:hint="eastAsia" w:ascii="Cambria Math" w:hAnsi="Cambria Math"/>
        </w:rPr>
        <w:t>点击</w:t>
      </w:r>
      <w:r>
        <w:rPr>
          <w:rFonts w:ascii="Cambria Math" w:hAnsi="Cambria Math"/>
        </w:rPr>
        <w:drawing>
          <wp:inline distT="0" distB="0" distL="0" distR="0">
            <wp:extent cx="200025" cy="2000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81" cstate="print"/>
                    <a:stretch>
                      <a:fillRect/>
                    </a:stretch>
                  </pic:blipFill>
                  <pic:spPr>
                    <a:xfrm flipV="1">
                      <a:off x="0" y="0"/>
                      <a:ext cx="200025" cy="200025"/>
                    </a:xfrm>
                    <a:prstGeom prst="rect">
                      <a:avLst/>
                    </a:prstGeom>
                  </pic:spPr>
                </pic:pic>
              </a:graphicData>
            </a:graphic>
          </wp:inline>
        </w:drawing>
      </w:r>
      <w:r>
        <w:rPr>
          <w:rFonts w:hint="eastAsia" w:ascii="Cambria Math" w:hAnsi="Cambria Math"/>
        </w:rPr>
        <w:t>按钮，同时打开信号源</w:t>
      </w:r>
      <w:r>
        <w:rPr>
          <w:rFonts w:ascii="Cambria Math" w:hAnsi="Cambria Math"/>
        </w:rPr>
        <w:drawing>
          <wp:inline distT="0" distB="0" distL="0" distR="0">
            <wp:extent cx="165735" cy="165735"/>
            <wp:effectExtent l="0" t="0" r="5715"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82" cstate="print"/>
                    <a:stretch>
                      <a:fillRect/>
                    </a:stretch>
                  </pic:blipFill>
                  <pic:spPr>
                    <a:xfrm flipV="1">
                      <a:off x="0" y="0"/>
                      <a:ext cx="165735" cy="165735"/>
                    </a:xfrm>
                    <a:prstGeom prst="rect">
                      <a:avLst/>
                    </a:prstGeom>
                  </pic:spPr>
                </pic:pic>
              </a:graphicData>
            </a:graphic>
          </wp:inline>
        </w:drawing>
      </w:r>
      <w:r>
        <w:rPr>
          <w:rFonts w:hint="eastAsia" w:ascii="Cambria Math" w:hAnsi="Cambria Math"/>
        </w:rPr>
        <w:t>，对不在两种不同采样频率的情况下采集到的信号，并记录下来。</w:t>
      </w:r>
    </w:p>
    <w:p w14:paraId="3690E5CA">
      <w:pPr>
        <w:pStyle w:val="15"/>
        <w:ind w:firstLine="480"/>
        <w:rPr>
          <w:rFonts w:ascii="Cambria Math" w:hAnsi="Cambria Math"/>
        </w:rPr>
      </w:pPr>
    </w:p>
    <w:p w14:paraId="5D75C1B0">
      <w:pPr>
        <w:pStyle w:val="15"/>
        <w:numPr>
          <w:ilvl w:val="0"/>
          <w:numId w:val="21"/>
        </w:numPr>
        <w:ind w:left="425" w:hanging="431" w:firstLineChars="0"/>
        <w:outlineLvl w:val="1"/>
        <w:rPr>
          <w:b/>
          <w:bCs/>
        </w:rPr>
      </w:pPr>
      <w:r>
        <w:rPr>
          <w:rFonts w:hint="eastAsia"/>
          <w:b/>
          <w:bCs/>
        </w:rPr>
        <w:t>实验知识点</w:t>
      </w:r>
    </w:p>
    <w:p w14:paraId="6B07FB33">
      <w:pPr>
        <w:pStyle w:val="15"/>
        <w:numPr>
          <w:ilvl w:val="0"/>
          <w:numId w:val="29"/>
        </w:numPr>
        <w:ind w:left="851" w:firstLineChars="0"/>
      </w:pPr>
      <w:r>
        <w:rPr>
          <w:rFonts w:hint="eastAsia"/>
        </w:rPr>
        <w:t>按实验步骤附上相应的时域信号、频谱函数、自功率谱和自相关函数图，理解每一种图谱的意义并加以说明。</w:t>
      </w:r>
    </w:p>
    <w:p w14:paraId="7C85CAD1">
      <w:pPr>
        <w:pStyle w:val="15"/>
        <w:numPr>
          <w:ilvl w:val="0"/>
          <w:numId w:val="29"/>
        </w:numPr>
        <w:ind w:left="851" w:firstLineChars="0"/>
      </w:pPr>
      <w:r>
        <w:rPr>
          <w:rFonts w:hint="eastAsia"/>
        </w:rPr>
        <w:t>掌握时域信号、频谱函数、自功率谱和自相关函数的求解方法。理解各种函数表达内容的特点及意义。它们在工程实践中都具有哪些作用？</w:t>
      </w:r>
    </w:p>
    <w:p w14:paraId="449699AB">
      <w:pPr>
        <w:pStyle w:val="15"/>
        <w:numPr>
          <w:ilvl w:val="0"/>
          <w:numId w:val="29"/>
        </w:numPr>
        <w:ind w:left="851" w:firstLineChars="0"/>
      </w:pPr>
      <w:r>
        <w:rPr>
          <w:rFonts w:hint="eastAsia"/>
        </w:rPr>
        <w:t>理解采样定理，为什么在实际测量中采样频率通常要大于信号中最高频率成分的</w:t>
      </w:r>
      <w:r>
        <w:t>3到5倍？若采样频域小于信号中最高频率成分的3到5倍，会出现什么现象？结合实验给出结论。</w:t>
      </w:r>
    </w:p>
    <w:p w14:paraId="010D06D2">
      <w:pPr>
        <w:pStyle w:val="15"/>
        <w:numPr>
          <w:ilvl w:val="0"/>
          <w:numId w:val="29"/>
        </w:numPr>
        <w:ind w:left="851" w:firstLineChars="0"/>
      </w:pPr>
      <w:r>
        <w:rPr>
          <w:rFonts w:hint="eastAsia"/>
        </w:rPr>
        <w:t>若信号频率为12</w:t>
      </w:r>
      <w:r>
        <w:t>000H</w:t>
      </w:r>
      <w:r>
        <w:rPr>
          <w:rFonts w:hint="eastAsia"/>
        </w:rPr>
        <w:t>z，采样频率分别为102400Hz和1024</w:t>
      </w:r>
      <w:r>
        <w:t>0H</w:t>
      </w:r>
      <w:r>
        <w:rPr>
          <w:rFonts w:hint="eastAsia"/>
        </w:rPr>
        <w:t>z，按实验步骤附上相应的信号波形和频谱曲线。并用matlab按信号频率为12</w:t>
      </w:r>
      <w:r>
        <w:t>000H</w:t>
      </w:r>
      <w:r>
        <w:rPr>
          <w:rFonts w:hint="eastAsia"/>
        </w:rPr>
        <w:t>z，采样频率1024</w:t>
      </w:r>
      <w:r>
        <w:t>0H</w:t>
      </w:r>
      <w:r>
        <w:rPr>
          <w:rFonts w:hint="eastAsia"/>
        </w:rPr>
        <w:t>z，生成时域、频域图形，将其与数据采集仪相同采样参数的信号做对比。说明采样频率变化对信号时域和频域特性的影响、抗混叠滤波器的作用，总结实验得出的主要结论。</w:t>
      </w:r>
    </w:p>
    <w:p w14:paraId="0F94530D">
      <w:pPr>
        <w:widowControl/>
        <w:spacing w:line="240" w:lineRule="auto"/>
        <w:ind w:firstLine="0" w:firstLineChars="0"/>
        <w:jc w:val="left"/>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797" w:bottom="1440" w:left="1797" w:header="851" w:footer="992" w:gutter="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96351768"/>
    </w:sdtPr>
    <w:sdtContent>
      <w:p w14:paraId="408C99FF">
        <w:pPr>
          <w:pStyle w:val="6"/>
          <w:ind w:firstLine="360"/>
          <w:jc w:val="center"/>
        </w:pPr>
        <w:r>
          <w:fldChar w:fldCharType="begin"/>
        </w:r>
        <w:r>
          <w:instrText xml:space="preserve">PAGE   \* MERGEFORMAT</w:instrText>
        </w:r>
        <w:r>
          <w:fldChar w:fldCharType="separate"/>
        </w:r>
        <w:r>
          <w:rPr>
            <w:lang w:val="zh-CN"/>
          </w:rPr>
          <w:t>5</w:t>
        </w:r>
        <w:r>
          <w:fldChar w:fldCharType="end"/>
        </w:r>
      </w:p>
    </w:sdtContent>
  </w:sdt>
  <w:p w14:paraId="0FBE3D2B">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1B7E71">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8D2300">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2F1BE7">
    <w:pPr>
      <w:widowControl/>
      <w:spacing w:line="240" w:lineRule="auto"/>
      <w:ind w:firstLine="0" w:firstLineChars="0"/>
      <w:jc w:val="left"/>
      <w:rPr>
        <w:rFonts w:ascii="宋体" w:hAnsi="宋体" w:cs="宋体"/>
        <w:kern w:val="0"/>
        <w:szCs w:val="24"/>
      </w:rPr>
    </w:pPr>
    <w:r>
      <w:rPr>
        <w:rFonts w:ascii="宋体" w:hAnsi="宋体" w:cs="宋体"/>
        <w:kern w:val="0"/>
        <w:szCs w:val="24"/>
      </w:rPr>
      <w:drawing>
        <wp:anchor distT="0" distB="0" distL="114300" distR="114300" simplePos="0" relativeHeight="251659264" behindDoc="0" locked="0" layoutInCell="1" allowOverlap="1">
          <wp:simplePos x="0" y="0"/>
          <wp:positionH relativeFrom="leftMargin">
            <wp:posOffset>6248400</wp:posOffset>
          </wp:positionH>
          <wp:positionV relativeFrom="paragraph">
            <wp:posOffset>-365125</wp:posOffset>
          </wp:positionV>
          <wp:extent cx="1135380" cy="740410"/>
          <wp:effectExtent l="0" t="0" r="8255" b="2540"/>
          <wp:wrapNone/>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35069" cy="740553"/>
                  </a:xfrm>
                  <a:prstGeom prst="rect">
                    <a:avLst/>
                  </a:prstGeom>
                  <a:noFill/>
                  <a:ln>
                    <a:noFill/>
                  </a:ln>
                </pic:spPr>
              </pic:pic>
            </a:graphicData>
          </a:graphic>
        </wp:anchor>
      </w:drawing>
    </w:r>
  </w:p>
  <w:p w14:paraId="17E65396">
    <w:pPr>
      <w:pStyle w:val="7"/>
      <w:pBdr>
        <w:bottom w:val="single" w:color="auto" w:sz="6" w:space="0"/>
      </w:pBdr>
      <w:rPr>
        <w:rFonts w:ascii="楷体" w:hAnsi="楷体" w:eastAsia="楷体"/>
        <w:sz w:val="21"/>
        <w:szCs w:val="21"/>
      </w:rPr>
    </w:pPr>
    <w:r>
      <w:rPr>
        <w:rFonts w:hint="eastAsia" w:ascii="楷体" w:hAnsi="楷体" w:eastAsia="楷体"/>
        <w:sz w:val="21"/>
        <w:szCs w:val="21"/>
      </w:rPr>
      <w:t>浙江大学实验指导书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42E2CD">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48B53E">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BC2A8C"/>
    <w:multiLevelType w:val="multilevel"/>
    <w:tmpl w:val="09BC2A8C"/>
    <w:lvl w:ilvl="0" w:tentative="0">
      <w:start w:val="1"/>
      <w:numFmt w:val="japaneseCounting"/>
      <w:lvlText w:val="%1、"/>
      <w:lvlJc w:val="left"/>
      <w:pPr>
        <w:ind w:left="912" w:hanging="432"/>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107351ED"/>
    <w:multiLevelType w:val="multilevel"/>
    <w:tmpl w:val="107351ED"/>
    <w:lvl w:ilvl="0" w:tentative="0">
      <w:start w:val="1"/>
      <w:numFmt w:val="decimal"/>
      <w:lvlText w:val="%1."/>
      <w:lvlJc w:val="left"/>
      <w:pPr>
        <w:ind w:left="1332" w:hanging="420"/>
      </w:pPr>
    </w:lvl>
    <w:lvl w:ilvl="1" w:tentative="0">
      <w:start w:val="1"/>
      <w:numFmt w:val="lowerLetter"/>
      <w:lvlText w:val="%2)"/>
      <w:lvlJc w:val="left"/>
      <w:pPr>
        <w:ind w:left="1752" w:hanging="420"/>
      </w:pPr>
    </w:lvl>
    <w:lvl w:ilvl="2" w:tentative="0">
      <w:start w:val="1"/>
      <w:numFmt w:val="lowerRoman"/>
      <w:lvlText w:val="%3."/>
      <w:lvlJc w:val="right"/>
      <w:pPr>
        <w:ind w:left="2172" w:hanging="420"/>
      </w:pPr>
    </w:lvl>
    <w:lvl w:ilvl="3" w:tentative="0">
      <w:start w:val="1"/>
      <w:numFmt w:val="decimal"/>
      <w:lvlText w:val="%4."/>
      <w:lvlJc w:val="left"/>
      <w:pPr>
        <w:ind w:left="2592" w:hanging="420"/>
      </w:pPr>
    </w:lvl>
    <w:lvl w:ilvl="4" w:tentative="0">
      <w:start w:val="1"/>
      <w:numFmt w:val="lowerLetter"/>
      <w:lvlText w:val="%5)"/>
      <w:lvlJc w:val="left"/>
      <w:pPr>
        <w:ind w:left="3012" w:hanging="420"/>
      </w:pPr>
    </w:lvl>
    <w:lvl w:ilvl="5" w:tentative="0">
      <w:start w:val="1"/>
      <w:numFmt w:val="lowerRoman"/>
      <w:lvlText w:val="%6."/>
      <w:lvlJc w:val="right"/>
      <w:pPr>
        <w:ind w:left="3432" w:hanging="420"/>
      </w:pPr>
    </w:lvl>
    <w:lvl w:ilvl="6" w:tentative="0">
      <w:start w:val="1"/>
      <w:numFmt w:val="decimal"/>
      <w:lvlText w:val="%7."/>
      <w:lvlJc w:val="left"/>
      <w:pPr>
        <w:ind w:left="3852" w:hanging="420"/>
      </w:pPr>
    </w:lvl>
    <w:lvl w:ilvl="7" w:tentative="0">
      <w:start w:val="1"/>
      <w:numFmt w:val="lowerLetter"/>
      <w:lvlText w:val="%8)"/>
      <w:lvlJc w:val="left"/>
      <w:pPr>
        <w:ind w:left="4272" w:hanging="420"/>
      </w:pPr>
    </w:lvl>
    <w:lvl w:ilvl="8" w:tentative="0">
      <w:start w:val="1"/>
      <w:numFmt w:val="lowerRoman"/>
      <w:lvlText w:val="%9."/>
      <w:lvlJc w:val="right"/>
      <w:pPr>
        <w:ind w:left="4692" w:hanging="420"/>
      </w:pPr>
    </w:lvl>
  </w:abstractNum>
  <w:abstractNum w:abstractNumId="2">
    <w:nsid w:val="163358EC"/>
    <w:multiLevelType w:val="multilevel"/>
    <w:tmpl w:val="163358EC"/>
    <w:lvl w:ilvl="0" w:tentative="0">
      <w:start w:val="1"/>
      <w:numFmt w:val="decimal"/>
      <w:lvlText w:val="%1."/>
      <w:lvlJc w:val="left"/>
      <w:pPr>
        <w:ind w:left="1332" w:hanging="420"/>
      </w:pPr>
    </w:lvl>
    <w:lvl w:ilvl="1" w:tentative="0">
      <w:start w:val="1"/>
      <w:numFmt w:val="lowerLetter"/>
      <w:lvlText w:val="%2)"/>
      <w:lvlJc w:val="left"/>
      <w:pPr>
        <w:ind w:left="1752" w:hanging="420"/>
      </w:pPr>
    </w:lvl>
    <w:lvl w:ilvl="2" w:tentative="0">
      <w:start w:val="1"/>
      <w:numFmt w:val="lowerRoman"/>
      <w:lvlText w:val="%3."/>
      <w:lvlJc w:val="right"/>
      <w:pPr>
        <w:ind w:left="2172" w:hanging="420"/>
      </w:pPr>
    </w:lvl>
    <w:lvl w:ilvl="3" w:tentative="0">
      <w:start w:val="1"/>
      <w:numFmt w:val="decimal"/>
      <w:lvlText w:val="%4."/>
      <w:lvlJc w:val="left"/>
      <w:pPr>
        <w:ind w:left="2592" w:hanging="420"/>
      </w:pPr>
    </w:lvl>
    <w:lvl w:ilvl="4" w:tentative="0">
      <w:start w:val="1"/>
      <w:numFmt w:val="lowerLetter"/>
      <w:lvlText w:val="%5)"/>
      <w:lvlJc w:val="left"/>
      <w:pPr>
        <w:ind w:left="3012" w:hanging="420"/>
      </w:pPr>
    </w:lvl>
    <w:lvl w:ilvl="5" w:tentative="0">
      <w:start w:val="1"/>
      <w:numFmt w:val="lowerRoman"/>
      <w:lvlText w:val="%6."/>
      <w:lvlJc w:val="right"/>
      <w:pPr>
        <w:ind w:left="3432" w:hanging="420"/>
      </w:pPr>
    </w:lvl>
    <w:lvl w:ilvl="6" w:tentative="0">
      <w:start w:val="1"/>
      <w:numFmt w:val="decimal"/>
      <w:lvlText w:val="%7."/>
      <w:lvlJc w:val="left"/>
      <w:pPr>
        <w:ind w:left="3852" w:hanging="420"/>
      </w:pPr>
    </w:lvl>
    <w:lvl w:ilvl="7" w:tentative="0">
      <w:start w:val="1"/>
      <w:numFmt w:val="lowerLetter"/>
      <w:lvlText w:val="%8)"/>
      <w:lvlJc w:val="left"/>
      <w:pPr>
        <w:ind w:left="4272" w:hanging="420"/>
      </w:pPr>
    </w:lvl>
    <w:lvl w:ilvl="8" w:tentative="0">
      <w:start w:val="1"/>
      <w:numFmt w:val="lowerRoman"/>
      <w:lvlText w:val="%9."/>
      <w:lvlJc w:val="right"/>
      <w:pPr>
        <w:ind w:left="4692" w:hanging="420"/>
      </w:pPr>
    </w:lvl>
  </w:abstractNum>
  <w:abstractNum w:abstractNumId="3">
    <w:nsid w:val="26595934"/>
    <w:multiLevelType w:val="multilevel"/>
    <w:tmpl w:val="2659593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9DA39FC"/>
    <w:multiLevelType w:val="multilevel"/>
    <w:tmpl w:val="29DA39FC"/>
    <w:lvl w:ilvl="0" w:tentative="0">
      <w:start w:val="1"/>
      <w:numFmt w:val="decimal"/>
      <w:lvlText w:val="%1."/>
      <w:lvlJc w:val="left"/>
      <w:pPr>
        <w:ind w:left="1332" w:hanging="420"/>
      </w:pPr>
    </w:lvl>
    <w:lvl w:ilvl="1" w:tentative="0">
      <w:start w:val="1"/>
      <w:numFmt w:val="lowerLetter"/>
      <w:lvlText w:val="%2)"/>
      <w:lvlJc w:val="left"/>
      <w:pPr>
        <w:ind w:left="1752" w:hanging="420"/>
      </w:pPr>
    </w:lvl>
    <w:lvl w:ilvl="2" w:tentative="0">
      <w:start w:val="1"/>
      <w:numFmt w:val="lowerRoman"/>
      <w:lvlText w:val="%3."/>
      <w:lvlJc w:val="right"/>
      <w:pPr>
        <w:ind w:left="2172" w:hanging="420"/>
      </w:pPr>
    </w:lvl>
    <w:lvl w:ilvl="3" w:tentative="0">
      <w:start w:val="1"/>
      <w:numFmt w:val="decimal"/>
      <w:lvlText w:val="%4."/>
      <w:lvlJc w:val="left"/>
      <w:pPr>
        <w:ind w:left="2592" w:hanging="420"/>
      </w:pPr>
    </w:lvl>
    <w:lvl w:ilvl="4" w:tentative="0">
      <w:start w:val="1"/>
      <w:numFmt w:val="lowerLetter"/>
      <w:lvlText w:val="%5)"/>
      <w:lvlJc w:val="left"/>
      <w:pPr>
        <w:ind w:left="3012" w:hanging="420"/>
      </w:pPr>
    </w:lvl>
    <w:lvl w:ilvl="5" w:tentative="0">
      <w:start w:val="1"/>
      <w:numFmt w:val="lowerRoman"/>
      <w:lvlText w:val="%6."/>
      <w:lvlJc w:val="right"/>
      <w:pPr>
        <w:ind w:left="3432" w:hanging="420"/>
      </w:pPr>
    </w:lvl>
    <w:lvl w:ilvl="6" w:tentative="0">
      <w:start w:val="1"/>
      <w:numFmt w:val="decimal"/>
      <w:lvlText w:val="%7."/>
      <w:lvlJc w:val="left"/>
      <w:pPr>
        <w:ind w:left="3852" w:hanging="420"/>
      </w:pPr>
    </w:lvl>
    <w:lvl w:ilvl="7" w:tentative="0">
      <w:start w:val="1"/>
      <w:numFmt w:val="lowerLetter"/>
      <w:lvlText w:val="%8)"/>
      <w:lvlJc w:val="left"/>
      <w:pPr>
        <w:ind w:left="4272" w:hanging="420"/>
      </w:pPr>
    </w:lvl>
    <w:lvl w:ilvl="8" w:tentative="0">
      <w:start w:val="1"/>
      <w:numFmt w:val="lowerRoman"/>
      <w:lvlText w:val="%9."/>
      <w:lvlJc w:val="right"/>
      <w:pPr>
        <w:ind w:left="4692" w:hanging="420"/>
      </w:pPr>
    </w:lvl>
  </w:abstractNum>
  <w:abstractNum w:abstractNumId="5">
    <w:nsid w:val="2A52506C"/>
    <w:multiLevelType w:val="multilevel"/>
    <w:tmpl w:val="2A52506C"/>
    <w:lvl w:ilvl="0" w:tentative="0">
      <w:start w:val="1"/>
      <w:numFmt w:val="japaneseCounting"/>
      <w:lvlText w:val="%1、"/>
      <w:lvlJc w:val="left"/>
      <w:pPr>
        <w:ind w:left="912" w:hanging="432"/>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2BBBDB2C"/>
    <w:multiLevelType w:val="singleLevel"/>
    <w:tmpl w:val="2BBBDB2C"/>
    <w:lvl w:ilvl="0" w:tentative="0">
      <w:start w:val="1"/>
      <w:numFmt w:val="decimal"/>
      <w:lvlText w:val="%1)"/>
      <w:lvlJc w:val="left"/>
      <w:pPr>
        <w:ind w:left="425" w:hanging="425"/>
      </w:pPr>
      <w:rPr>
        <w:rFonts w:hint="default"/>
      </w:rPr>
    </w:lvl>
  </w:abstractNum>
  <w:abstractNum w:abstractNumId="7">
    <w:nsid w:val="2FBB5534"/>
    <w:multiLevelType w:val="multilevel"/>
    <w:tmpl w:val="2FBB5534"/>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FDB1A7D"/>
    <w:multiLevelType w:val="multilevel"/>
    <w:tmpl w:val="2FDB1A7D"/>
    <w:lvl w:ilvl="0" w:tentative="0">
      <w:start w:val="1"/>
      <w:numFmt w:val="lowerLetter"/>
      <w:lvlText w:val="%1)"/>
      <w:lvlJc w:val="left"/>
      <w:pPr>
        <w:ind w:left="1620" w:hanging="420"/>
      </w:p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9">
    <w:nsid w:val="30E6133D"/>
    <w:multiLevelType w:val="multilevel"/>
    <w:tmpl w:val="30E6133D"/>
    <w:lvl w:ilvl="0" w:tentative="0">
      <w:start w:val="1"/>
      <w:numFmt w:val="decimal"/>
      <w:lvlText w:val="%1."/>
      <w:lvlJc w:val="left"/>
      <w:pPr>
        <w:ind w:left="1332" w:hanging="420"/>
      </w:pPr>
    </w:lvl>
    <w:lvl w:ilvl="1" w:tentative="0">
      <w:start w:val="1"/>
      <w:numFmt w:val="lowerLetter"/>
      <w:lvlText w:val="%2)"/>
      <w:lvlJc w:val="left"/>
      <w:pPr>
        <w:ind w:left="1752" w:hanging="420"/>
      </w:pPr>
    </w:lvl>
    <w:lvl w:ilvl="2" w:tentative="0">
      <w:start w:val="1"/>
      <w:numFmt w:val="lowerRoman"/>
      <w:lvlText w:val="%3."/>
      <w:lvlJc w:val="right"/>
      <w:pPr>
        <w:ind w:left="2172" w:hanging="420"/>
      </w:pPr>
    </w:lvl>
    <w:lvl w:ilvl="3" w:tentative="0">
      <w:start w:val="1"/>
      <w:numFmt w:val="decimal"/>
      <w:lvlText w:val="%4."/>
      <w:lvlJc w:val="left"/>
      <w:pPr>
        <w:ind w:left="2592" w:hanging="420"/>
      </w:pPr>
    </w:lvl>
    <w:lvl w:ilvl="4" w:tentative="0">
      <w:start w:val="1"/>
      <w:numFmt w:val="lowerLetter"/>
      <w:lvlText w:val="%5)"/>
      <w:lvlJc w:val="left"/>
      <w:pPr>
        <w:ind w:left="3012" w:hanging="420"/>
      </w:pPr>
    </w:lvl>
    <w:lvl w:ilvl="5" w:tentative="0">
      <w:start w:val="1"/>
      <w:numFmt w:val="lowerRoman"/>
      <w:lvlText w:val="%6."/>
      <w:lvlJc w:val="right"/>
      <w:pPr>
        <w:ind w:left="3432" w:hanging="420"/>
      </w:pPr>
    </w:lvl>
    <w:lvl w:ilvl="6" w:tentative="0">
      <w:start w:val="1"/>
      <w:numFmt w:val="decimal"/>
      <w:lvlText w:val="%7."/>
      <w:lvlJc w:val="left"/>
      <w:pPr>
        <w:ind w:left="3852" w:hanging="420"/>
      </w:pPr>
    </w:lvl>
    <w:lvl w:ilvl="7" w:tentative="0">
      <w:start w:val="1"/>
      <w:numFmt w:val="lowerLetter"/>
      <w:lvlText w:val="%8)"/>
      <w:lvlJc w:val="left"/>
      <w:pPr>
        <w:ind w:left="4272" w:hanging="420"/>
      </w:pPr>
    </w:lvl>
    <w:lvl w:ilvl="8" w:tentative="0">
      <w:start w:val="1"/>
      <w:numFmt w:val="lowerRoman"/>
      <w:lvlText w:val="%9."/>
      <w:lvlJc w:val="right"/>
      <w:pPr>
        <w:ind w:left="4692" w:hanging="420"/>
      </w:pPr>
    </w:lvl>
  </w:abstractNum>
  <w:abstractNum w:abstractNumId="10">
    <w:nsid w:val="3329718B"/>
    <w:multiLevelType w:val="multilevel"/>
    <w:tmpl w:val="3329718B"/>
    <w:lvl w:ilvl="0" w:tentative="0">
      <w:start w:val="1"/>
      <w:numFmt w:val="japaneseCounting"/>
      <w:lvlText w:val="%1、"/>
      <w:lvlJc w:val="left"/>
      <w:pPr>
        <w:ind w:left="912" w:hanging="432"/>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37C366E8"/>
    <w:multiLevelType w:val="multilevel"/>
    <w:tmpl w:val="37C366E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3BDF2B0C"/>
    <w:multiLevelType w:val="multilevel"/>
    <w:tmpl w:val="3BDF2B0C"/>
    <w:lvl w:ilvl="0" w:tentative="0">
      <w:start w:val="1"/>
      <w:numFmt w:val="decimal"/>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13">
    <w:nsid w:val="3FB54D1B"/>
    <w:multiLevelType w:val="multilevel"/>
    <w:tmpl w:val="3FB54D1B"/>
    <w:lvl w:ilvl="0" w:tentative="0">
      <w:start w:val="1"/>
      <w:numFmt w:val="decimal"/>
      <w:lvlText w:val="%1."/>
      <w:lvlJc w:val="left"/>
      <w:pPr>
        <w:ind w:left="1332" w:hanging="420"/>
      </w:pPr>
    </w:lvl>
    <w:lvl w:ilvl="1" w:tentative="0">
      <w:start w:val="1"/>
      <w:numFmt w:val="lowerLetter"/>
      <w:lvlText w:val="%2)"/>
      <w:lvlJc w:val="left"/>
      <w:pPr>
        <w:ind w:left="1752" w:hanging="420"/>
      </w:pPr>
    </w:lvl>
    <w:lvl w:ilvl="2" w:tentative="0">
      <w:start w:val="1"/>
      <w:numFmt w:val="lowerRoman"/>
      <w:lvlText w:val="%3."/>
      <w:lvlJc w:val="right"/>
      <w:pPr>
        <w:ind w:left="2172" w:hanging="420"/>
      </w:pPr>
    </w:lvl>
    <w:lvl w:ilvl="3" w:tentative="0">
      <w:start w:val="1"/>
      <w:numFmt w:val="decimal"/>
      <w:lvlText w:val="%4."/>
      <w:lvlJc w:val="left"/>
      <w:pPr>
        <w:ind w:left="2592" w:hanging="420"/>
      </w:pPr>
    </w:lvl>
    <w:lvl w:ilvl="4" w:tentative="0">
      <w:start w:val="1"/>
      <w:numFmt w:val="lowerLetter"/>
      <w:lvlText w:val="%5)"/>
      <w:lvlJc w:val="left"/>
      <w:pPr>
        <w:ind w:left="3012" w:hanging="420"/>
      </w:pPr>
    </w:lvl>
    <w:lvl w:ilvl="5" w:tentative="0">
      <w:start w:val="1"/>
      <w:numFmt w:val="lowerRoman"/>
      <w:lvlText w:val="%6."/>
      <w:lvlJc w:val="right"/>
      <w:pPr>
        <w:ind w:left="3432" w:hanging="420"/>
      </w:pPr>
    </w:lvl>
    <w:lvl w:ilvl="6" w:tentative="0">
      <w:start w:val="1"/>
      <w:numFmt w:val="decimal"/>
      <w:lvlText w:val="%7."/>
      <w:lvlJc w:val="left"/>
      <w:pPr>
        <w:ind w:left="3852" w:hanging="420"/>
      </w:pPr>
    </w:lvl>
    <w:lvl w:ilvl="7" w:tentative="0">
      <w:start w:val="1"/>
      <w:numFmt w:val="lowerLetter"/>
      <w:lvlText w:val="%8)"/>
      <w:lvlJc w:val="left"/>
      <w:pPr>
        <w:ind w:left="4272" w:hanging="420"/>
      </w:pPr>
    </w:lvl>
    <w:lvl w:ilvl="8" w:tentative="0">
      <w:start w:val="1"/>
      <w:numFmt w:val="lowerRoman"/>
      <w:lvlText w:val="%9."/>
      <w:lvlJc w:val="right"/>
      <w:pPr>
        <w:ind w:left="4692" w:hanging="420"/>
      </w:pPr>
    </w:lvl>
  </w:abstractNum>
  <w:abstractNum w:abstractNumId="14">
    <w:nsid w:val="41BD314C"/>
    <w:multiLevelType w:val="multilevel"/>
    <w:tmpl w:val="41BD314C"/>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5">
    <w:nsid w:val="421C67E8"/>
    <w:multiLevelType w:val="multilevel"/>
    <w:tmpl w:val="421C67E8"/>
    <w:lvl w:ilvl="0" w:tentative="0">
      <w:start w:val="1"/>
      <w:numFmt w:val="decimal"/>
      <w:lvlText w:val="%1."/>
      <w:lvlJc w:val="left"/>
      <w:pPr>
        <w:ind w:left="1332" w:hanging="420"/>
      </w:pPr>
    </w:lvl>
    <w:lvl w:ilvl="1" w:tentative="0">
      <w:start w:val="1"/>
      <w:numFmt w:val="lowerLetter"/>
      <w:lvlText w:val="%2)"/>
      <w:lvlJc w:val="left"/>
      <w:pPr>
        <w:ind w:left="1752" w:hanging="420"/>
      </w:pPr>
    </w:lvl>
    <w:lvl w:ilvl="2" w:tentative="0">
      <w:start w:val="1"/>
      <w:numFmt w:val="lowerRoman"/>
      <w:lvlText w:val="%3."/>
      <w:lvlJc w:val="right"/>
      <w:pPr>
        <w:ind w:left="2172" w:hanging="420"/>
      </w:pPr>
    </w:lvl>
    <w:lvl w:ilvl="3" w:tentative="0">
      <w:start w:val="1"/>
      <w:numFmt w:val="decimal"/>
      <w:lvlText w:val="%4."/>
      <w:lvlJc w:val="left"/>
      <w:pPr>
        <w:ind w:left="2592" w:hanging="420"/>
      </w:pPr>
    </w:lvl>
    <w:lvl w:ilvl="4" w:tentative="0">
      <w:start w:val="1"/>
      <w:numFmt w:val="lowerLetter"/>
      <w:lvlText w:val="%5)"/>
      <w:lvlJc w:val="left"/>
      <w:pPr>
        <w:ind w:left="3012" w:hanging="420"/>
      </w:pPr>
    </w:lvl>
    <w:lvl w:ilvl="5" w:tentative="0">
      <w:start w:val="1"/>
      <w:numFmt w:val="lowerRoman"/>
      <w:lvlText w:val="%6."/>
      <w:lvlJc w:val="right"/>
      <w:pPr>
        <w:ind w:left="3432" w:hanging="420"/>
      </w:pPr>
    </w:lvl>
    <w:lvl w:ilvl="6" w:tentative="0">
      <w:start w:val="1"/>
      <w:numFmt w:val="decimal"/>
      <w:lvlText w:val="%7."/>
      <w:lvlJc w:val="left"/>
      <w:pPr>
        <w:ind w:left="3852" w:hanging="420"/>
      </w:pPr>
    </w:lvl>
    <w:lvl w:ilvl="7" w:tentative="0">
      <w:start w:val="1"/>
      <w:numFmt w:val="lowerLetter"/>
      <w:lvlText w:val="%8)"/>
      <w:lvlJc w:val="left"/>
      <w:pPr>
        <w:ind w:left="4272" w:hanging="420"/>
      </w:pPr>
    </w:lvl>
    <w:lvl w:ilvl="8" w:tentative="0">
      <w:start w:val="1"/>
      <w:numFmt w:val="lowerRoman"/>
      <w:lvlText w:val="%9."/>
      <w:lvlJc w:val="right"/>
      <w:pPr>
        <w:ind w:left="4692" w:hanging="420"/>
      </w:pPr>
    </w:lvl>
  </w:abstractNum>
  <w:abstractNum w:abstractNumId="16">
    <w:nsid w:val="446E6A9A"/>
    <w:multiLevelType w:val="multilevel"/>
    <w:tmpl w:val="446E6A9A"/>
    <w:lvl w:ilvl="0" w:tentative="0">
      <w:start w:val="1"/>
      <w:numFmt w:val="decimal"/>
      <w:lvlText w:val="%1."/>
      <w:lvlJc w:val="left"/>
      <w:pPr>
        <w:ind w:left="1332" w:hanging="420"/>
      </w:pPr>
    </w:lvl>
    <w:lvl w:ilvl="1" w:tentative="0">
      <w:start w:val="1"/>
      <w:numFmt w:val="lowerLetter"/>
      <w:lvlText w:val="%2)"/>
      <w:lvlJc w:val="left"/>
      <w:pPr>
        <w:ind w:left="1752" w:hanging="420"/>
      </w:pPr>
    </w:lvl>
    <w:lvl w:ilvl="2" w:tentative="0">
      <w:start w:val="1"/>
      <w:numFmt w:val="lowerRoman"/>
      <w:lvlText w:val="%3."/>
      <w:lvlJc w:val="right"/>
      <w:pPr>
        <w:ind w:left="2172" w:hanging="420"/>
      </w:pPr>
    </w:lvl>
    <w:lvl w:ilvl="3" w:tentative="0">
      <w:start w:val="1"/>
      <w:numFmt w:val="decimal"/>
      <w:lvlText w:val="%4."/>
      <w:lvlJc w:val="left"/>
      <w:pPr>
        <w:ind w:left="2592" w:hanging="420"/>
      </w:pPr>
    </w:lvl>
    <w:lvl w:ilvl="4" w:tentative="0">
      <w:start w:val="1"/>
      <w:numFmt w:val="lowerLetter"/>
      <w:lvlText w:val="%5)"/>
      <w:lvlJc w:val="left"/>
      <w:pPr>
        <w:ind w:left="3012" w:hanging="420"/>
      </w:pPr>
    </w:lvl>
    <w:lvl w:ilvl="5" w:tentative="0">
      <w:start w:val="1"/>
      <w:numFmt w:val="lowerRoman"/>
      <w:lvlText w:val="%6."/>
      <w:lvlJc w:val="right"/>
      <w:pPr>
        <w:ind w:left="3432" w:hanging="420"/>
      </w:pPr>
    </w:lvl>
    <w:lvl w:ilvl="6" w:tentative="0">
      <w:start w:val="1"/>
      <w:numFmt w:val="decimal"/>
      <w:lvlText w:val="%7."/>
      <w:lvlJc w:val="left"/>
      <w:pPr>
        <w:ind w:left="3852" w:hanging="420"/>
      </w:pPr>
    </w:lvl>
    <w:lvl w:ilvl="7" w:tentative="0">
      <w:start w:val="1"/>
      <w:numFmt w:val="lowerLetter"/>
      <w:lvlText w:val="%8)"/>
      <w:lvlJc w:val="left"/>
      <w:pPr>
        <w:ind w:left="4272" w:hanging="420"/>
      </w:pPr>
    </w:lvl>
    <w:lvl w:ilvl="8" w:tentative="0">
      <w:start w:val="1"/>
      <w:numFmt w:val="lowerRoman"/>
      <w:lvlText w:val="%9."/>
      <w:lvlJc w:val="right"/>
      <w:pPr>
        <w:ind w:left="4692" w:hanging="420"/>
      </w:pPr>
    </w:lvl>
  </w:abstractNum>
  <w:abstractNum w:abstractNumId="17">
    <w:nsid w:val="49080129"/>
    <w:multiLevelType w:val="singleLevel"/>
    <w:tmpl w:val="49080129"/>
    <w:lvl w:ilvl="0" w:tentative="0">
      <w:start w:val="1"/>
      <w:numFmt w:val="decimal"/>
      <w:lvlText w:val="%1)"/>
      <w:lvlJc w:val="left"/>
      <w:pPr>
        <w:ind w:left="425" w:hanging="425"/>
      </w:pPr>
      <w:rPr>
        <w:rFonts w:hint="default"/>
      </w:rPr>
    </w:lvl>
  </w:abstractNum>
  <w:abstractNum w:abstractNumId="18">
    <w:nsid w:val="4F257572"/>
    <w:multiLevelType w:val="singleLevel"/>
    <w:tmpl w:val="4F257572"/>
    <w:lvl w:ilvl="0" w:tentative="0">
      <w:start w:val="1"/>
      <w:numFmt w:val="decimal"/>
      <w:lvlText w:val="%1)"/>
      <w:lvlJc w:val="left"/>
      <w:pPr>
        <w:ind w:left="425" w:hanging="425"/>
      </w:pPr>
      <w:rPr>
        <w:rFonts w:hint="default"/>
      </w:rPr>
    </w:lvl>
  </w:abstractNum>
  <w:abstractNum w:abstractNumId="19">
    <w:nsid w:val="4F6F2378"/>
    <w:multiLevelType w:val="multilevel"/>
    <w:tmpl w:val="4F6F2378"/>
    <w:lvl w:ilvl="0" w:tentative="0">
      <w:start w:val="1"/>
      <w:numFmt w:val="decimal"/>
      <w:lvlText w:val="%1."/>
      <w:lvlJc w:val="left"/>
      <w:pPr>
        <w:ind w:left="1332" w:hanging="420"/>
      </w:pPr>
    </w:lvl>
    <w:lvl w:ilvl="1" w:tentative="0">
      <w:start w:val="1"/>
      <w:numFmt w:val="lowerLetter"/>
      <w:lvlText w:val="%2)"/>
      <w:lvlJc w:val="left"/>
      <w:pPr>
        <w:ind w:left="1752" w:hanging="420"/>
      </w:pPr>
    </w:lvl>
    <w:lvl w:ilvl="2" w:tentative="0">
      <w:start w:val="1"/>
      <w:numFmt w:val="lowerRoman"/>
      <w:lvlText w:val="%3."/>
      <w:lvlJc w:val="right"/>
      <w:pPr>
        <w:ind w:left="2172" w:hanging="420"/>
      </w:pPr>
    </w:lvl>
    <w:lvl w:ilvl="3" w:tentative="0">
      <w:start w:val="1"/>
      <w:numFmt w:val="decimal"/>
      <w:lvlText w:val="%4."/>
      <w:lvlJc w:val="left"/>
      <w:pPr>
        <w:ind w:left="2592" w:hanging="420"/>
      </w:pPr>
    </w:lvl>
    <w:lvl w:ilvl="4" w:tentative="0">
      <w:start w:val="1"/>
      <w:numFmt w:val="lowerLetter"/>
      <w:lvlText w:val="%5)"/>
      <w:lvlJc w:val="left"/>
      <w:pPr>
        <w:ind w:left="3012" w:hanging="420"/>
      </w:pPr>
    </w:lvl>
    <w:lvl w:ilvl="5" w:tentative="0">
      <w:start w:val="1"/>
      <w:numFmt w:val="lowerRoman"/>
      <w:lvlText w:val="%6."/>
      <w:lvlJc w:val="right"/>
      <w:pPr>
        <w:ind w:left="3432" w:hanging="420"/>
      </w:pPr>
    </w:lvl>
    <w:lvl w:ilvl="6" w:tentative="0">
      <w:start w:val="1"/>
      <w:numFmt w:val="decimal"/>
      <w:lvlText w:val="%7."/>
      <w:lvlJc w:val="left"/>
      <w:pPr>
        <w:ind w:left="3852" w:hanging="420"/>
      </w:pPr>
    </w:lvl>
    <w:lvl w:ilvl="7" w:tentative="0">
      <w:start w:val="1"/>
      <w:numFmt w:val="lowerLetter"/>
      <w:lvlText w:val="%8)"/>
      <w:lvlJc w:val="left"/>
      <w:pPr>
        <w:ind w:left="4272" w:hanging="420"/>
      </w:pPr>
    </w:lvl>
    <w:lvl w:ilvl="8" w:tentative="0">
      <w:start w:val="1"/>
      <w:numFmt w:val="lowerRoman"/>
      <w:lvlText w:val="%9."/>
      <w:lvlJc w:val="right"/>
      <w:pPr>
        <w:ind w:left="4692" w:hanging="420"/>
      </w:pPr>
    </w:lvl>
  </w:abstractNum>
  <w:abstractNum w:abstractNumId="20">
    <w:nsid w:val="5BAF1C2E"/>
    <w:multiLevelType w:val="multilevel"/>
    <w:tmpl w:val="5BAF1C2E"/>
    <w:lvl w:ilvl="0" w:tentative="0">
      <w:start w:val="1"/>
      <w:numFmt w:val="decimal"/>
      <w:lvlText w:val="%1."/>
      <w:lvlJc w:val="left"/>
      <w:pPr>
        <w:ind w:left="1332" w:hanging="420"/>
      </w:pPr>
    </w:lvl>
    <w:lvl w:ilvl="1" w:tentative="0">
      <w:start w:val="1"/>
      <w:numFmt w:val="lowerLetter"/>
      <w:lvlText w:val="%2)"/>
      <w:lvlJc w:val="left"/>
      <w:pPr>
        <w:ind w:left="1752" w:hanging="420"/>
      </w:pPr>
    </w:lvl>
    <w:lvl w:ilvl="2" w:tentative="0">
      <w:start w:val="1"/>
      <w:numFmt w:val="lowerRoman"/>
      <w:lvlText w:val="%3."/>
      <w:lvlJc w:val="right"/>
      <w:pPr>
        <w:ind w:left="2172" w:hanging="420"/>
      </w:pPr>
    </w:lvl>
    <w:lvl w:ilvl="3" w:tentative="0">
      <w:start w:val="1"/>
      <w:numFmt w:val="decimal"/>
      <w:lvlText w:val="%4."/>
      <w:lvlJc w:val="left"/>
      <w:pPr>
        <w:ind w:left="2592" w:hanging="420"/>
      </w:pPr>
    </w:lvl>
    <w:lvl w:ilvl="4" w:tentative="0">
      <w:start w:val="1"/>
      <w:numFmt w:val="lowerLetter"/>
      <w:lvlText w:val="%5)"/>
      <w:lvlJc w:val="left"/>
      <w:pPr>
        <w:ind w:left="3012" w:hanging="420"/>
      </w:pPr>
    </w:lvl>
    <w:lvl w:ilvl="5" w:tentative="0">
      <w:start w:val="1"/>
      <w:numFmt w:val="lowerRoman"/>
      <w:lvlText w:val="%6."/>
      <w:lvlJc w:val="right"/>
      <w:pPr>
        <w:ind w:left="3432" w:hanging="420"/>
      </w:pPr>
    </w:lvl>
    <w:lvl w:ilvl="6" w:tentative="0">
      <w:start w:val="1"/>
      <w:numFmt w:val="decimal"/>
      <w:lvlText w:val="%7."/>
      <w:lvlJc w:val="left"/>
      <w:pPr>
        <w:ind w:left="3852" w:hanging="420"/>
      </w:pPr>
    </w:lvl>
    <w:lvl w:ilvl="7" w:tentative="0">
      <w:start w:val="1"/>
      <w:numFmt w:val="lowerLetter"/>
      <w:lvlText w:val="%8)"/>
      <w:lvlJc w:val="left"/>
      <w:pPr>
        <w:ind w:left="4272" w:hanging="420"/>
      </w:pPr>
    </w:lvl>
    <w:lvl w:ilvl="8" w:tentative="0">
      <w:start w:val="1"/>
      <w:numFmt w:val="lowerRoman"/>
      <w:lvlText w:val="%9."/>
      <w:lvlJc w:val="right"/>
      <w:pPr>
        <w:ind w:left="4692" w:hanging="420"/>
      </w:pPr>
    </w:lvl>
  </w:abstractNum>
  <w:abstractNum w:abstractNumId="21">
    <w:nsid w:val="652B72DB"/>
    <w:multiLevelType w:val="multilevel"/>
    <w:tmpl w:val="652B72DB"/>
    <w:lvl w:ilvl="0" w:tentative="0">
      <w:start w:val="1"/>
      <w:numFmt w:val="decimal"/>
      <w:lvlText w:val="%1."/>
      <w:lvlJc w:val="left"/>
      <w:pPr>
        <w:ind w:left="1332" w:hanging="420"/>
      </w:pPr>
    </w:lvl>
    <w:lvl w:ilvl="1" w:tentative="0">
      <w:start w:val="1"/>
      <w:numFmt w:val="lowerLetter"/>
      <w:lvlText w:val="%2)"/>
      <w:lvlJc w:val="left"/>
      <w:pPr>
        <w:ind w:left="1752" w:hanging="420"/>
      </w:pPr>
    </w:lvl>
    <w:lvl w:ilvl="2" w:tentative="0">
      <w:start w:val="1"/>
      <w:numFmt w:val="lowerRoman"/>
      <w:lvlText w:val="%3."/>
      <w:lvlJc w:val="right"/>
      <w:pPr>
        <w:ind w:left="2172" w:hanging="420"/>
      </w:pPr>
    </w:lvl>
    <w:lvl w:ilvl="3" w:tentative="0">
      <w:start w:val="1"/>
      <w:numFmt w:val="decimal"/>
      <w:lvlText w:val="%4."/>
      <w:lvlJc w:val="left"/>
      <w:pPr>
        <w:ind w:left="2592" w:hanging="420"/>
      </w:pPr>
    </w:lvl>
    <w:lvl w:ilvl="4" w:tentative="0">
      <w:start w:val="1"/>
      <w:numFmt w:val="lowerLetter"/>
      <w:lvlText w:val="%5)"/>
      <w:lvlJc w:val="left"/>
      <w:pPr>
        <w:ind w:left="3012" w:hanging="420"/>
      </w:pPr>
    </w:lvl>
    <w:lvl w:ilvl="5" w:tentative="0">
      <w:start w:val="1"/>
      <w:numFmt w:val="lowerRoman"/>
      <w:lvlText w:val="%6."/>
      <w:lvlJc w:val="right"/>
      <w:pPr>
        <w:ind w:left="3432" w:hanging="420"/>
      </w:pPr>
    </w:lvl>
    <w:lvl w:ilvl="6" w:tentative="0">
      <w:start w:val="1"/>
      <w:numFmt w:val="decimal"/>
      <w:lvlText w:val="%7."/>
      <w:lvlJc w:val="left"/>
      <w:pPr>
        <w:ind w:left="3852" w:hanging="420"/>
      </w:pPr>
    </w:lvl>
    <w:lvl w:ilvl="7" w:tentative="0">
      <w:start w:val="1"/>
      <w:numFmt w:val="lowerLetter"/>
      <w:lvlText w:val="%8)"/>
      <w:lvlJc w:val="left"/>
      <w:pPr>
        <w:ind w:left="4272" w:hanging="420"/>
      </w:pPr>
    </w:lvl>
    <w:lvl w:ilvl="8" w:tentative="0">
      <w:start w:val="1"/>
      <w:numFmt w:val="lowerRoman"/>
      <w:lvlText w:val="%9."/>
      <w:lvlJc w:val="right"/>
      <w:pPr>
        <w:ind w:left="4692" w:hanging="420"/>
      </w:pPr>
    </w:lvl>
  </w:abstractNum>
  <w:abstractNum w:abstractNumId="22">
    <w:nsid w:val="6B4459FE"/>
    <w:multiLevelType w:val="multilevel"/>
    <w:tmpl w:val="6B4459FE"/>
    <w:lvl w:ilvl="0" w:tentative="0">
      <w:start w:val="1"/>
      <w:numFmt w:val="decimal"/>
      <w:lvlText w:val="%1."/>
      <w:lvlJc w:val="left"/>
      <w:pPr>
        <w:ind w:left="1332" w:hanging="420"/>
      </w:pPr>
    </w:lvl>
    <w:lvl w:ilvl="1" w:tentative="0">
      <w:start w:val="1"/>
      <w:numFmt w:val="lowerLetter"/>
      <w:lvlText w:val="%2)"/>
      <w:lvlJc w:val="left"/>
      <w:pPr>
        <w:ind w:left="1752" w:hanging="420"/>
      </w:pPr>
    </w:lvl>
    <w:lvl w:ilvl="2" w:tentative="0">
      <w:start w:val="1"/>
      <w:numFmt w:val="lowerRoman"/>
      <w:lvlText w:val="%3."/>
      <w:lvlJc w:val="right"/>
      <w:pPr>
        <w:ind w:left="2172" w:hanging="420"/>
      </w:pPr>
    </w:lvl>
    <w:lvl w:ilvl="3" w:tentative="0">
      <w:start w:val="1"/>
      <w:numFmt w:val="decimal"/>
      <w:lvlText w:val="%4."/>
      <w:lvlJc w:val="left"/>
      <w:pPr>
        <w:ind w:left="2592" w:hanging="420"/>
      </w:pPr>
    </w:lvl>
    <w:lvl w:ilvl="4" w:tentative="0">
      <w:start w:val="1"/>
      <w:numFmt w:val="lowerLetter"/>
      <w:lvlText w:val="%5)"/>
      <w:lvlJc w:val="left"/>
      <w:pPr>
        <w:ind w:left="3012" w:hanging="420"/>
      </w:pPr>
    </w:lvl>
    <w:lvl w:ilvl="5" w:tentative="0">
      <w:start w:val="1"/>
      <w:numFmt w:val="lowerRoman"/>
      <w:lvlText w:val="%6."/>
      <w:lvlJc w:val="right"/>
      <w:pPr>
        <w:ind w:left="3432" w:hanging="420"/>
      </w:pPr>
    </w:lvl>
    <w:lvl w:ilvl="6" w:tentative="0">
      <w:start w:val="1"/>
      <w:numFmt w:val="decimal"/>
      <w:lvlText w:val="%7."/>
      <w:lvlJc w:val="left"/>
      <w:pPr>
        <w:ind w:left="3852" w:hanging="420"/>
      </w:pPr>
    </w:lvl>
    <w:lvl w:ilvl="7" w:tentative="0">
      <w:start w:val="1"/>
      <w:numFmt w:val="lowerLetter"/>
      <w:lvlText w:val="%8)"/>
      <w:lvlJc w:val="left"/>
      <w:pPr>
        <w:ind w:left="4272" w:hanging="420"/>
      </w:pPr>
    </w:lvl>
    <w:lvl w:ilvl="8" w:tentative="0">
      <w:start w:val="1"/>
      <w:numFmt w:val="lowerRoman"/>
      <w:lvlText w:val="%9."/>
      <w:lvlJc w:val="right"/>
      <w:pPr>
        <w:ind w:left="4692" w:hanging="420"/>
      </w:pPr>
    </w:lvl>
  </w:abstractNum>
  <w:abstractNum w:abstractNumId="23">
    <w:nsid w:val="6B5B528C"/>
    <w:multiLevelType w:val="multilevel"/>
    <w:tmpl w:val="6B5B528C"/>
    <w:lvl w:ilvl="0" w:tentative="0">
      <w:start w:val="1"/>
      <w:numFmt w:val="decimal"/>
      <w:lvlText w:val="%1."/>
      <w:lvlJc w:val="left"/>
      <w:pPr>
        <w:ind w:left="1332" w:hanging="420"/>
      </w:pPr>
    </w:lvl>
    <w:lvl w:ilvl="1" w:tentative="0">
      <w:start w:val="1"/>
      <w:numFmt w:val="lowerLetter"/>
      <w:lvlText w:val="%2)"/>
      <w:lvlJc w:val="left"/>
      <w:pPr>
        <w:ind w:left="1752" w:hanging="420"/>
      </w:pPr>
    </w:lvl>
    <w:lvl w:ilvl="2" w:tentative="0">
      <w:start w:val="1"/>
      <w:numFmt w:val="lowerRoman"/>
      <w:lvlText w:val="%3."/>
      <w:lvlJc w:val="right"/>
      <w:pPr>
        <w:ind w:left="2172" w:hanging="420"/>
      </w:pPr>
    </w:lvl>
    <w:lvl w:ilvl="3" w:tentative="0">
      <w:start w:val="1"/>
      <w:numFmt w:val="decimal"/>
      <w:lvlText w:val="%4."/>
      <w:lvlJc w:val="left"/>
      <w:pPr>
        <w:ind w:left="2592" w:hanging="420"/>
      </w:pPr>
    </w:lvl>
    <w:lvl w:ilvl="4" w:tentative="0">
      <w:start w:val="1"/>
      <w:numFmt w:val="lowerLetter"/>
      <w:lvlText w:val="%5)"/>
      <w:lvlJc w:val="left"/>
      <w:pPr>
        <w:ind w:left="3012" w:hanging="420"/>
      </w:pPr>
    </w:lvl>
    <w:lvl w:ilvl="5" w:tentative="0">
      <w:start w:val="1"/>
      <w:numFmt w:val="lowerRoman"/>
      <w:lvlText w:val="%6."/>
      <w:lvlJc w:val="right"/>
      <w:pPr>
        <w:ind w:left="3432" w:hanging="420"/>
      </w:pPr>
    </w:lvl>
    <w:lvl w:ilvl="6" w:tentative="0">
      <w:start w:val="1"/>
      <w:numFmt w:val="decimal"/>
      <w:lvlText w:val="%7."/>
      <w:lvlJc w:val="left"/>
      <w:pPr>
        <w:ind w:left="3852" w:hanging="420"/>
      </w:pPr>
    </w:lvl>
    <w:lvl w:ilvl="7" w:tentative="0">
      <w:start w:val="1"/>
      <w:numFmt w:val="lowerLetter"/>
      <w:lvlText w:val="%8)"/>
      <w:lvlJc w:val="left"/>
      <w:pPr>
        <w:ind w:left="4272" w:hanging="420"/>
      </w:pPr>
    </w:lvl>
    <w:lvl w:ilvl="8" w:tentative="0">
      <w:start w:val="1"/>
      <w:numFmt w:val="lowerRoman"/>
      <w:lvlText w:val="%9."/>
      <w:lvlJc w:val="right"/>
      <w:pPr>
        <w:ind w:left="4692" w:hanging="420"/>
      </w:pPr>
    </w:lvl>
  </w:abstractNum>
  <w:abstractNum w:abstractNumId="24">
    <w:nsid w:val="6DB5020D"/>
    <w:multiLevelType w:val="multilevel"/>
    <w:tmpl w:val="6DB5020D"/>
    <w:lvl w:ilvl="0" w:tentative="0">
      <w:start w:val="1"/>
      <w:numFmt w:val="lowerLetter"/>
      <w:lvlText w:val="%1)"/>
      <w:lvlJc w:val="left"/>
      <w:pPr>
        <w:ind w:left="1776" w:hanging="420"/>
      </w:pPr>
    </w:lvl>
    <w:lvl w:ilvl="1" w:tentative="0">
      <w:start w:val="1"/>
      <w:numFmt w:val="lowerLetter"/>
      <w:lvlText w:val="%2)"/>
      <w:lvlJc w:val="left"/>
      <w:pPr>
        <w:ind w:left="2196" w:hanging="420"/>
      </w:pPr>
    </w:lvl>
    <w:lvl w:ilvl="2" w:tentative="0">
      <w:start w:val="1"/>
      <w:numFmt w:val="lowerRoman"/>
      <w:lvlText w:val="%3."/>
      <w:lvlJc w:val="right"/>
      <w:pPr>
        <w:ind w:left="2616" w:hanging="420"/>
      </w:pPr>
    </w:lvl>
    <w:lvl w:ilvl="3" w:tentative="0">
      <w:start w:val="1"/>
      <w:numFmt w:val="decimal"/>
      <w:lvlText w:val="%4."/>
      <w:lvlJc w:val="left"/>
      <w:pPr>
        <w:ind w:left="3036" w:hanging="420"/>
      </w:pPr>
    </w:lvl>
    <w:lvl w:ilvl="4" w:tentative="0">
      <w:start w:val="1"/>
      <w:numFmt w:val="lowerLetter"/>
      <w:lvlText w:val="%5)"/>
      <w:lvlJc w:val="left"/>
      <w:pPr>
        <w:ind w:left="3456" w:hanging="420"/>
      </w:pPr>
    </w:lvl>
    <w:lvl w:ilvl="5" w:tentative="0">
      <w:start w:val="1"/>
      <w:numFmt w:val="lowerRoman"/>
      <w:lvlText w:val="%6."/>
      <w:lvlJc w:val="right"/>
      <w:pPr>
        <w:ind w:left="3876" w:hanging="420"/>
      </w:pPr>
    </w:lvl>
    <w:lvl w:ilvl="6" w:tentative="0">
      <w:start w:val="1"/>
      <w:numFmt w:val="decimal"/>
      <w:lvlText w:val="%7."/>
      <w:lvlJc w:val="left"/>
      <w:pPr>
        <w:ind w:left="4296" w:hanging="420"/>
      </w:pPr>
    </w:lvl>
    <w:lvl w:ilvl="7" w:tentative="0">
      <w:start w:val="1"/>
      <w:numFmt w:val="lowerLetter"/>
      <w:lvlText w:val="%8)"/>
      <w:lvlJc w:val="left"/>
      <w:pPr>
        <w:ind w:left="4716" w:hanging="420"/>
      </w:pPr>
    </w:lvl>
    <w:lvl w:ilvl="8" w:tentative="0">
      <w:start w:val="1"/>
      <w:numFmt w:val="lowerRoman"/>
      <w:lvlText w:val="%9."/>
      <w:lvlJc w:val="right"/>
      <w:pPr>
        <w:ind w:left="5136" w:hanging="420"/>
      </w:pPr>
    </w:lvl>
  </w:abstractNum>
  <w:abstractNum w:abstractNumId="25">
    <w:nsid w:val="791F7A9C"/>
    <w:multiLevelType w:val="multilevel"/>
    <w:tmpl w:val="791F7A9C"/>
    <w:lvl w:ilvl="0" w:tentative="0">
      <w:start w:val="1"/>
      <w:numFmt w:val="decimal"/>
      <w:lvlText w:val="%1."/>
      <w:lvlJc w:val="left"/>
      <w:pPr>
        <w:ind w:left="1332" w:hanging="420"/>
      </w:pPr>
    </w:lvl>
    <w:lvl w:ilvl="1" w:tentative="0">
      <w:start w:val="1"/>
      <w:numFmt w:val="lowerLetter"/>
      <w:lvlText w:val="%2)"/>
      <w:lvlJc w:val="left"/>
      <w:pPr>
        <w:ind w:left="1752" w:hanging="420"/>
      </w:pPr>
    </w:lvl>
    <w:lvl w:ilvl="2" w:tentative="0">
      <w:start w:val="1"/>
      <w:numFmt w:val="lowerRoman"/>
      <w:lvlText w:val="%3."/>
      <w:lvlJc w:val="right"/>
      <w:pPr>
        <w:ind w:left="2172" w:hanging="420"/>
      </w:pPr>
    </w:lvl>
    <w:lvl w:ilvl="3" w:tentative="0">
      <w:start w:val="1"/>
      <w:numFmt w:val="decimal"/>
      <w:lvlText w:val="%4."/>
      <w:lvlJc w:val="left"/>
      <w:pPr>
        <w:ind w:left="2592" w:hanging="420"/>
      </w:pPr>
    </w:lvl>
    <w:lvl w:ilvl="4" w:tentative="0">
      <w:start w:val="1"/>
      <w:numFmt w:val="lowerLetter"/>
      <w:lvlText w:val="%5)"/>
      <w:lvlJc w:val="left"/>
      <w:pPr>
        <w:ind w:left="3012" w:hanging="420"/>
      </w:pPr>
    </w:lvl>
    <w:lvl w:ilvl="5" w:tentative="0">
      <w:start w:val="1"/>
      <w:numFmt w:val="lowerRoman"/>
      <w:lvlText w:val="%6."/>
      <w:lvlJc w:val="right"/>
      <w:pPr>
        <w:ind w:left="3432" w:hanging="420"/>
      </w:pPr>
    </w:lvl>
    <w:lvl w:ilvl="6" w:tentative="0">
      <w:start w:val="1"/>
      <w:numFmt w:val="decimal"/>
      <w:lvlText w:val="%7."/>
      <w:lvlJc w:val="left"/>
      <w:pPr>
        <w:ind w:left="3852" w:hanging="420"/>
      </w:pPr>
    </w:lvl>
    <w:lvl w:ilvl="7" w:tentative="0">
      <w:start w:val="1"/>
      <w:numFmt w:val="lowerLetter"/>
      <w:lvlText w:val="%8)"/>
      <w:lvlJc w:val="left"/>
      <w:pPr>
        <w:ind w:left="4272" w:hanging="420"/>
      </w:pPr>
    </w:lvl>
    <w:lvl w:ilvl="8" w:tentative="0">
      <w:start w:val="1"/>
      <w:numFmt w:val="lowerRoman"/>
      <w:lvlText w:val="%9."/>
      <w:lvlJc w:val="right"/>
      <w:pPr>
        <w:ind w:left="4692" w:hanging="420"/>
      </w:pPr>
    </w:lvl>
  </w:abstractNum>
  <w:abstractNum w:abstractNumId="26">
    <w:nsid w:val="7CD678F7"/>
    <w:multiLevelType w:val="multilevel"/>
    <w:tmpl w:val="7CD678F7"/>
    <w:lvl w:ilvl="0" w:tentative="0">
      <w:start w:val="1"/>
      <w:numFmt w:val="decimal"/>
      <w:lvlText w:val="%1."/>
      <w:lvlJc w:val="left"/>
      <w:pPr>
        <w:ind w:left="1332" w:hanging="420"/>
      </w:pPr>
    </w:lvl>
    <w:lvl w:ilvl="1" w:tentative="0">
      <w:start w:val="1"/>
      <w:numFmt w:val="lowerLetter"/>
      <w:lvlText w:val="%2)"/>
      <w:lvlJc w:val="left"/>
      <w:pPr>
        <w:ind w:left="1752" w:hanging="420"/>
      </w:pPr>
    </w:lvl>
    <w:lvl w:ilvl="2" w:tentative="0">
      <w:start w:val="1"/>
      <w:numFmt w:val="lowerRoman"/>
      <w:lvlText w:val="%3."/>
      <w:lvlJc w:val="right"/>
      <w:pPr>
        <w:ind w:left="2172" w:hanging="420"/>
      </w:pPr>
    </w:lvl>
    <w:lvl w:ilvl="3" w:tentative="0">
      <w:start w:val="1"/>
      <w:numFmt w:val="decimal"/>
      <w:lvlText w:val="%4."/>
      <w:lvlJc w:val="left"/>
      <w:pPr>
        <w:ind w:left="2592" w:hanging="420"/>
      </w:pPr>
    </w:lvl>
    <w:lvl w:ilvl="4" w:tentative="0">
      <w:start w:val="1"/>
      <w:numFmt w:val="lowerLetter"/>
      <w:lvlText w:val="%5)"/>
      <w:lvlJc w:val="left"/>
      <w:pPr>
        <w:ind w:left="3012" w:hanging="420"/>
      </w:pPr>
    </w:lvl>
    <w:lvl w:ilvl="5" w:tentative="0">
      <w:start w:val="1"/>
      <w:numFmt w:val="lowerRoman"/>
      <w:lvlText w:val="%6."/>
      <w:lvlJc w:val="right"/>
      <w:pPr>
        <w:ind w:left="3432" w:hanging="420"/>
      </w:pPr>
    </w:lvl>
    <w:lvl w:ilvl="6" w:tentative="0">
      <w:start w:val="1"/>
      <w:numFmt w:val="decimal"/>
      <w:lvlText w:val="%7."/>
      <w:lvlJc w:val="left"/>
      <w:pPr>
        <w:ind w:left="3852" w:hanging="420"/>
      </w:pPr>
    </w:lvl>
    <w:lvl w:ilvl="7" w:tentative="0">
      <w:start w:val="1"/>
      <w:numFmt w:val="lowerLetter"/>
      <w:lvlText w:val="%8)"/>
      <w:lvlJc w:val="left"/>
      <w:pPr>
        <w:ind w:left="4272" w:hanging="420"/>
      </w:pPr>
    </w:lvl>
    <w:lvl w:ilvl="8" w:tentative="0">
      <w:start w:val="1"/>
      <w:numFmt w:val="lowerRoman"/>
      <w:lvlText w:val="%9."/>
      <w:lvlJc w:val="right"/>
      <w:pPr>
        <w:ind w:left="4692" w:hanging="420"/>
      </w:pPr>
    </w:lvl>
  </w:abstractNum>
  <w:abstractNum w:abstractNumId="27">
    <w:nsid w:val="7DFC09C3"/>
    <w:multiLevelType w:val="multilevel"/>
    <w:tmpl w:val="7DFC09C3"/>
    <w:lvl w:ilvl="0" w:tentative="0">
      <w:start w:val="1"/>
      <w:numFmt w:val="decimal"/>
      <w:lvlText w:val="%1."/>
      <w:lvlJc w:val="left"/>
      <w:pPr>
        <w:ind w:left="1332" w:hanging="420"/>
      </w:pPr>
    </w:lvl>
    <w:lvl w:ilvl="1" w:tentative="0">
      <w:start w:val="1"/>
      <w:numFmt w:val="lowerLetter"/>
      <w:lvlText w:val="%2)"/>
      <w:lvlJc w:val="left"/>
      <w:pPr>
        <w:ind w:left="1752" w:hanging="420"/>
      </w:pPr>
    </w:lvl>
    <w:lvl w:ilvl="2" w:tentative="0">
      <w:start w:val="1"/>
      <w:numFmt w:val="lowerRoman"/>
      <w:lvlText w:val="%3."/>
      <w:lvlJc w:val="right"/>
      <w:pPr>
        <w:ind w:left="2172" w:hanging="420"/>
      </w:pPr>
    </w:lvl>
    <w:lvl w:ilvl="3" w:tentative="0">
      <w:start w:val="1"/>
      <w:numFmt w:val="decimal"/>
      <w:lvlText w:val="%4."/>
      <w:lvlJc w:val="left"/>
      <w:pPr>
        <w:ind w:left="2592" w:hanging="420"/>
      </w:pPr>
    </w:lvl>
    <w:lvl w:ilvl="4" w:tentative="0">
      <w:start w:val="1"/>
      <w:numFmt w:val="lowerLetter"/>
      <w:lvlText w:val="%5)"/>
      <w:lvlJc w:val="left"/>
      <w:pPr>
        <w:ind w:left="3012" w:hanging="420"/>
      </w:pPr>
    </w:lvl>
    <w:lvl w:ilvl="5" w:tentative="0">
      <w:start w:val="1"/>
      <w:numFmt w:val="lowerRoman"/>
      <w:lvlText w:val="%6."/>
      <w:lvlJc w:val="right"/>
      <w:pPr>
        <w:ind w:left="3432" w:hanging="420"/>
      </w:pPr>
    </w:lvl>
    <w:lvl w:ilvl="6" w:tentative="0">
      <w:start w:val="1"/>
      <w:numFmt w:val="decimal"/>
      <w:lvlText w:val="%7."/>
      <w:lvlJc w:val="left"/>
      <w:pPr>
        <w:ind w:left="3852" w:hanging="420"/>
      </w:pPr>
    </w:lvl>
    <w:lvl w:ilvl="7" w:tentative="0">
      <w:start w:val="1"/>
      <w:numFmt w:val="lowerLetter"/>
      <w:lvlText w:val="%8)"/>
      <w:lvlJc w:val="left"/>
      <w:pPr>
        <w:ind w:left="4272" w:hanging="420"/>
      </w:pPr>
    </w:lvl>
    <w:lvl w:ilvl="8" w:tentative="0">
      <w:start w:val="1"/>
      <w:numFmt w:val="lowerRoman"/>
      <w:lvlText w:val="%9."/>
      <w:lvlJc w:val="right"/>
      <w:pPr>
        <w:ind w:left="4692" w:hanging="420"/>
      </w:pPr>
    </w:lvl>
  </w:abstractNum>
  <w:abstractNum w:abstractNumId="28">
    <w:nsid w:val="7EC05BEC"/>
    <w:multiLevelType w:val="multilevel"/>
    <w:tmpl w:val="7EC05BEC"/>
    <w:lvl w:ilvl="0" w:tentative="0">
      <w:start w:val="1"/>
      <w:numFmt w:val="decimal"/>
      <w:lvlText w:val="%1."/>
      <w:lvlJc w:val="left"/>
      <w:pPr>
        <w:ind w:left="1332" w:hanging="420"/>
      </w:pPr>
    </w:lvl>
    <w:lvl w:ilvl="1" w:tentative="0">
      <w:start w:val="1"/>
      <w:numFmt w:val="lowerLetter"/>
      <w:lvlText w:val="%2)"/>
      <w:lvlJc w:val="left"/>
      <w:pPr>
        <w:ind w:left="1752" w:hanging="420"/>
      </w:pPr>
    </w:lvl>
    <w:lvl w:ilvl="2" w:tentative="0">
      <w:start w:val="1"/>
      <w:numFmt w:val="lowerRoman"/>
      <w:lvlText w:val="%3."/>
      <w:lvlJc w:val="right"/>
      <w:pPr>
        <w:ind w:left="2172" w:hanging="420"/>
      </w:pPr>
    </w:lvl>
    <w:lvl w:ilvl="3" w:tentative="0">
      <w:start w:val="1"/>
      <w:numFmt w:val="decimal"/>
      <w:lvlText w:val="%4."/>
      <w:lvlJc w:val="left"/>
      <w:pPr>
        <w:ind w:left="2592" w:hanging="420"/>
      </w:pPr>
    </w:lvl>
    <w:lvl w:ilvl="4" w:tentative="0">
      <w:start w:val="1"/>
      <w:numFmt w:val="lowerLetter"/>
      <w:lvlText w:val="%5)"/>
      <w:lvlJc w:val="left"/>
      <w:pPr>
        <w:ind w:left="3012" w:hanging="420"/>
      </w:pPr>
    </w:lvl>
    <w:lvl w:ilvl="5" w:tentative="0">
      <w:start w:val="1"/>
      <w:numFmt w:val="lowerRoman"/>
      <w:lvlText w:val="%6."/>
      <w:lvlJc w:val="right"/>
      <w:pPr>
        <w:ind w:left="3432" w:hanging="420"/>
      </w:pPr>
    </w:lvl>
    <w:lvl w:ilvl="6" w:tentative="0">
      <w:start w:val="1"/>
      <w:numFmt w:val="decimal"/>
      <w:lvlText w:val="%7."/>
      <w:lvlJc w:val="left"/>
      <w:pPr>
        <w:ind w:left="3852" w:hanging="420"/>
      </w:pPr>
    </w:lvl>
    <w:lvl w:ilvl="7" w:tentative="0">
      <w:start w:val="1"/>
      <w:numFmt w:val="lowerLetter"/>
      <w:lvlText w:val="%8)"/>
      <w:lvlJc w:val="left"/>
      <w:pPr>
        <w:ind w:left="4272" w:hanging="420"/>
      </w:pPr>
    </w:lvl>
    <w:lvl w:ilvl="8" w:tentative="0">
      <w:start w:val="1"/>
      <w:numFmt w:val="lowerRoman"/>
      <w:lvlText w:val="%9."/>
      <w:lvlJc w:val="right"/>
      <w:pPr>
        <w:ind w:left="4692" w:hanging="420"/>
      </w:pPr>
    </w:lvl>
  </w:abstractNum>
  <w:num w:numId="1">
    <w:abstractNumId w:val="7"/>
  </w:num>
  <w:num w:numId="2">
    <w:abstractNumId w:val="10"/>
  </w:num>
  <w:num w:numId="3">
    <w:abstractNumId w:val="25"/>
  </w:num>
  <w:num w:numId="4">
    <w:abstractNumId w:val="13"/>
  </w:num>
  <w:num w:numId="5">
    <w:abstractNumId w:val="21"/>
  </w:num>
  <w:num w:numId="6">
    <w:abstractNumId w:val="14"/>
  </w:num>
  <w:num w:numId="7">
    <w:abstractNumId w:val="19"/>
  </w:num>
  <w:num w:numId="8">
    <w:abstractNumId w:val="1"/>
  </w:num>
  <w:num w:numId="9">
    <w:abstractNumId w:val="6"/>
  </w:num>
  <w:num w:numId="10">
    <w:abstractNumId w:val="4"/>
  </w:num>
  <w:num w:numId="11">
    <w:abstractNumId w:val="0"/>
  </w:num>
  <w:num w:numId="12">
    <w:abstractNumId w:val="2"/>
  </w:num>
  <w:num w:numId="13">
    <w:abstractNumId w:val="16"/>
  </w:num>
  <w:num w:numId="14">
    <w:abstractNumId w:val="23"/>
  </w:num>
  <w:num w:numId="15">
    <w:abstractNumId w:val="15"/>
  </w:num>
  <w:num w:numId="16">
    <w:abstractNumId w:val="17"/>
  </w:num>
  <w:num w:numId="17">
    <w:abstractNumId w:val="18"/>
  </w:num>
  <w:num w:numId="18">
    <w:abstractNumId w:val="3"/>
  </w:num>
  <w:num w:numId="19">
    <w:abstractNumId w:val="11"/>
  </w:num>
  <w:num w:numId="20">
    <w:abstractNumId w:val="28"/>
  </w:num>
  <w:num w:numId="21">
    <w:abstractNumId w:val="5"/>
  </w:num>
  <w:num w:numId="22">
    <w:abstractNumId w:val="26"/>
  </w:num>
  <w:num w:numId="23">
    <w:abstractNumId w:val="22"/>
  </w:num>
  <w:num w:numId="24">
    <w:abstractNumId w:val="12"/>
  </w:num>
  <w:num w:numId="25">
    <w:abstractNumId w:val="8"/>
  </w:num>
  <w:num w:numId="26">
    <w:abstractNumId w:val="9"/>
  </w:num>
  <w:num w:numId="27">
    <w:abstractNumId w:val="27"/>
  </w:num>
  <w:num w:numId="28">
    <w:abstractNumId w:val="24"/>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MTIyNmM3ZjkzMWRjNjc0N2I1NDYxZTA2N2Q2ZmM3N2MifQ=="/>
  </w:docVars>
  <w:rsids>
    <w:rsidRoot w:val="00945E57"/>
    <w:rsid w:val="00001551"/>
    <w:rsid w:val="00004408"/>
    <w:rsid w:val="00011467"/>
    <w:rsid w:val="0001214E"/>
    <w:rsid w:val="00012CB2"/>
    <w:rsid w:val="00017F67"/>
    <w:rsid w:val="00027739"/>
    <w:rsid w:val="00035136"/>
    <w:rsid w:val="000510AF"/>
    <w:rsid w:val="00051B1F"/>
    <w:rsid w:val="00052F4E"/>
    <w:rsid w:val="000626D9"/>
    <w:rsid w:val="00076542"/>
    <w:rsid w:val="00086751"/>
    <w:rsid w:val="000A6370"/>
    <w:rsid w:val="000B319B"/>
    <w:rsid w:val="000C3773"/>
    <w:rsid w:val="000C48B5"/>
    <w:rsid w:val="000C6E02"/>
    <w:rsid w:val="000D47A4"/>
    <w:rsid w:val="000D77E3"/>
    <w:rsid w:val="000E3E99"/>
    <w:rsid w:val="000F1345"/>
    <w:rsid w:val="000F189B"/>
    <w:rsid w:val="000F3140"/>
    <w:rsid w:val="000F48B7"/>
    <w:rsid w:val="00103627"/>
    <w:rsid w:val="001066AE"/>
    <w:rsid w:val="001162F3"/>
    <w:rsid w:val="0012098B"/>
    <w:rsid w:val="00131952"/>
    <w:rsid w:val="00150DFE"/>
    <w:rsid w:val="00156E1C"/>
    <w:rsid w:val="00166536"/>
    <w:rsid w:val="001678A3"/>
    <w:rsid w:val="00172B42"/>
    <w:rsid w:val="00193DD6"/>
    <w:rsid w:val="00196577"/>
    <w:rsid w:val="001965F4"/>
    <w:rsid w:val="0019718B"/>
    <w:rsid w:val="001A6148"/>
    <w:rsid w:val="001D34A6"/>
    <w:rsid w:val="001D5690"/>
    <w:rsid w:val="001D58BF"/>
    <w:rsid w:val="001D6FD2"/>
    <w:rsid w:val="001F2C3E"/>
    <w:rsid w:val="001F39F2"/>
    <w:rsid w:val="00200945"/>
    <w:rsid w:val="002030CD"/>
    <w:rsid w:val="00203FB2"/>
    <w:rsid w:val="00220320"/>
    <w:rsid w:val="002257B8"/>
    <w:rsid w:val="0022724D"/>
    <w:rsid w:val="00230343"/>
    <w:rsid w:val="0023239B"/>
    <w:rsid w:val="0023494F"/>
    <w:rsid w:val="00235498"/>
    <w:rsid w:val="00235F78"/>
    <w:rsid w:val="00242DB0"/>
    <w:rsid w:val="00244808"/>
    <w:rsid w:val="00244910"/>
    <w:rsid w:val="00245CCE"/>
    <w:rsid w:val="00247F6C"/>
    <w:rsid w:val="00250AD6"/>
    <w:rsid w:val="00266E9B"/>
    <w:rsid w:val="002742D4"/>
    <w:rsid w:val="002825F3"/>
    <w:rsid w:val="002979E7"/>
    <w:rsid w:val="002A0145"/>
    <w:rsid w:val="002A2A6D"/>
    <w:rsid w:val="002A3489"/>
    <w:rsid w:val="002A5D1C"/>
    <w:rsid w:val="002A7876"/>
    <w:rsid w:val="002B48AC"/>
    <w:rsid w:val="002B5BAD"/>
    <w:rsid w:val="002C3DE5"/>
    <w:rsid w:val="002D5FA7"/>
    <w:rsid w:val="002E32CA"/>
    <w:rsid w:val="002F1F78"/>
    <w:rsid w:val="002F5FAF"/>
    <w:rsid w:val="002F6685"/>
    <w:rsid w:val="00302679"/>
    <w:rsid w:val="00304FD7"/>
    <w:rsid w:val="00310F98"/>
    <w:rsid w:val="003115AB"/>
    <w:rsid w:val="00311957"/>
    <w:rsid w:val="0031393E"/>
    <w:rsid w:val="003161EC"/>
    <w:rsid w:val="00326DB7"/>
    <w:rsid w:val="00327236"/>
    <w:rsid w:val="003273E6"/>
    <w:rsid w:val="003379A0"/>
    <w:rsid w:val="003463E8"/>
    <w:rsid w:val="003603F5"/>
    <w:rsid w:val="00391A03"/>
    <w:rsid w:val="003A6215"/>
    <w:rsid w:val="003B4D5F"/>
    <w:rsid w:val="003B6072"/>
    <w:rsid w:val="003C5C0C"/>
    <w:rsid w:val="003D23BA"/>
    <w:rsid w:val="003E0601"/>
    <w:rsid w:val="003F1B2F"/>
    <w:rsid w:val="003F1BC4"/>
    <w:rsid w:val="00413F88"/>
    <w:rsid w:val="00421FED"/>
    <w:rsid w:val="00425340"/>
    <w:rsid w:val="00430798"/>
    <w:rsid w:val="00435721"/>
    <w:rsid w:val="00437D6B"/>
    <w:rsid w:val="004408DE"/>
    <w:rsid w:val="004415D0"/>
    <w:rsid w:val="004419DB"/>
    <w:rsid w:val="00444A7E"/>
    <w:rsid w:val="00446BB9"/>
    <w:rsid w:val="00453380"/>
    <w:rsid w:val="004602FA"/>
    <w:rsid w:val="00460DA8"/>
    <w:rsid w:val="00471B47"/>
    <w:rsid w:val="004726E3"/>
    <w:rsid w:val="0048146B"/>
    <w:rsid w:val="00490766"/>
    <w:rsid w:val="004A41E6"/>
    <w:rsid w:val="004B6299"/>
    <w:rsid w:val="004C0C5C"/>
    <w:rsid w:val="004C758A"/>
    <w:rsid w:val="004C7BF7"/>
    <w:rsid w:val="004D0237"/>
    <w:rsid w:val="004D527A"/>
    <w:rsid w:val="004E3B52"/>
    <w:rsid w:val="004E5A52"/>
    <w:rsid w:val="00500537"/>
    <w:rsid w:val="00500B94"/>
    <w:rsid w:val="00501276"/>
    <w:rsid w:val="005040EA"/>
    <w:rsid w:val="00513C52"/>
    <w:rsid w:val="005254FC"/>
    <w:rsid w:val="00527C5E"/>
    <w:rsid w:val="00532B26"/>
    <w:rsid w:val="005463F5"/>
    <w:rsid w:val="005526BF"/>
    <w:rsid w:val="005575DB"/>
    <w:rsid w:val="0056747B"/>
    <w:rsid w:val="005718DD"/>
    <w:rsid w:val="0057267E"/>
    <w:rsid w:val="00577BD4"/>
    <w:rsid w:val="00581941"/>
    <w:rsid w:val="005864D6"/>
    <w:rsid w:val="00586A5A"/>
    <w:rsid w:val="005902F3"/>
    <w:rsid w:val="005966F9"/>
    <w:rsid w:val="005B1C56"/>
    <w:rsid w:val="005B66BE"/>
    <w:rsid w:val="005B67CC"/>
    <w:rsid w:val="005C7CC9"/>
    <w:rsid w:val="005D4BDA"/>
    <w:rsid w:val="005E1EDF"/>
    <w:rsid w:val="005E20CE"/>
    <w:rsid w:val="005E5DBA"/>
    <w:rsid w:val="005E7B0D"/>
    <w:rsid w:val="005F5AD3"/>
    <w:rsid w:val="006012C4"/>
    <w:rsid w:val="0061108B"/>
    <w:rsid w:val="00617395"/>
    <w:rsid w:val="00627DB3"/>
    <w:rsid w:val="006306E1"/>
    <w:rsid w:val="00637FF1"/>
    <w:rsid w:val="00642C6A"/>
    <w:rsid w:val="0064441E"/>
    <w:rsid w:val="00646BB9"/>
    <w:rsid w:val="00650C79"/>
    <w:rsid w:val="00652129"/>
    <w:rsid w:val="00652711"/>
    <w:rsid w:val="0065620C"/>
    <w:rsid w:val="0066161E"/>
    <w:rsid w:val="00662549"/>
    <w:rsid w:val="0066316D"/>
    <w:rsid w:val="00690D30"/>
    <w:rsid w:val="006A452D"/>
    <w:rsid w:val="006B1BEC"/>
    <w:rsid w:val="006C747B"/>
    <w:rsid w:val="006E0B26"/>
    <w:rsid w:val="006F03C5"/>
    <w:rsid w:val="006F15A9"/>
    <w:rsid w:val="006F2324"/>
    <w:rsid w:val="006F7DDA"/>
    <w:rsid w:val="00705608"/>
    <w:rsid w:val="007100F7"/>
    <w:rsid w:val="00713373"/>
    <w:rsid w:val="00722D72"/>
    <w:rsid w:val="00724F0C"/>
    <w:rsid w:val="00726393"/>
    <w:rsid w:val="00730100"/>
    <w:rsid w:val="00730453"/>
    <w:rsid w:val="00732A15"/>
    <w:rsid w:val="0074124B"/>
    <w:rsid w:val="00741D87"/>
    <w:rsid w:val="00752296"/>
    <w:rsid w:val="00766C94"/>
    <w:rsid w:val="00774936"/>
    <w:rsid w:val="00784398"/>
    <w:rsid w:val="007853A0"/>
    <w:rsid w:val="007A5BF7"/>
    <w:rsid w:val="007C4D66"/>
    <w:rsid w:val="007D10DF"/>
    <w:rsid w:val="007D6AEE"/>
    <w:rsid w:val="007D6C7B"/>
    <w:rsid w:val="007D6FC8"/>
    <w:rsid w:val="00800DA6"/>
    <w:rsid w:val="00803D65"/>
    <w:rsid w:val="00812571"/>
    <w:rsid w:val="00812AEF"/>
    <w:rsid w:val="0081452E"/>
    <w:rsid w:val="0081453D"/>
    <w:rsid w:val="00816D07"/>
    <w:rsid w:val="00817F9A"/>
    <w:rsid w:val="00821594"/>
    <w:rsid w:val="00830302"/>
    <w:rsid w:val="008329E7"/>
    <w:rsid w:val="00836233"/>
    <w:rsid w:val="008416CE"/>
    <w:rsid w:val="008439CE"/>
    <w:rsid w:val="008440BB"/>
    <w:rsid w:val="00845FEA"/>
    <w:rsid w:val="00847521"/>
    <w:rsid w:val="008508DC"/>
    <w:rsid w:val="00860987"/>
    <w:rsid w:val="008654F1"/>
    <w:rsid w:val="00866951"/>
    <w:rsid w:val="00871399"/>
    <w:rsid w:val="0087386E"/>
    <w:rsid w:val="008767F1"/>
    <w:rsid w:val="0089281C"/>
    <w:rsid w:val="008A316B"/>
    <w:rsid w:val="008A3DDE"/>
    <w:rsid w:val="008A4948"/>
    <w:rsid w:val="008B2FA2"/>
    <w:rsid w:val="008B3B2A"/>
    <w:rsid w:val="008B5715"/>
    <w:rsid w:val="008C518C"/>
    <w:rsid w:val="008D3554"/>
    <w:rsid w:val="008D4AC2"/>
    <w:rsid w:val="00902B22"/>
    <w:rsid w:val="00920918"/>
    <w:rsid w:val="00931458"/>
    <w:rsid w:val="00932A31"/>
    <w:rsid w:val="00932AAC"/>
    <w:rsid w:val="00945E57"/>
    <w:rsid w:val="0094616F"/>
    <w:rsid w:val="00947EEE"/>
    <w:rsid w:val="00952C8B"/>
    <w:rsid w:val="00971AEB"/>
    <w:rsid w:val="00973D88"/>
    <w:rsid w:val="009909A3"/>
    <w:rsid w:val="00991BAA"/>
    <w:rsid w:val="009A6CC0"/>
    <w:rsid w:val="009A7933"/>
    <w:rsid w:val="009B0C4A"/>
    <w:rsid w:val="009B0EBD"/>
    <w:rsid w:val="009C04B8"/>
    <w:rsid w:val="009C115B"/>
    <w:rsid w:val="009C27A4"/>
    <w:rsid w:val="009C3CD3"/>
    <w:rsid w:val="009C665B"/>
    <w:rsid w:val="009D190C"/>
    <w:rsid w:val="009D429D"/>
    <w:rsid w:val="009D44E9"/>
    <w:rsid w:val="009E4550"/>
    <w:rsid w:val="00A046F8"/>
    <w:rsid w:val="00A07CCC"/>
    <w:rsid w:val="00A10676"/>
    <w:rsid w:val="00A10EEA"/>
    <w:rsid w:val="00A11AAB"/>
    <w:rsid w:val="00A305D0"/>
    <w:rsid w:val="00A31E46"/>
    <w:rsid w:val="00A321EE"/>
    <w:rsid w:val="00A55139"/>
    <w:rsid w:val="00A57040"/>
    <w:rsid w:val="00A62A0C"/>
    <w:rsid w:val="00A63BC9"/>
    <w:rsid w:val="00A73528"/>
    <w:rsid w:val="00A75B5D"/>
    <w:rsid w:val="00A80A33"/>
    <w:rsid w:val="00A87DC2"/>
    <w:rsid w:val="00A93347"/>
    <w:rsid w:val="00A93C82"/>
    <w:rsid w:val="00A97667"/>
    <w:rsid w:val="00AA105D"/>
    <w:rsid w:val="00AA4E6A"/>
    <w:rsid w:val="00AA789C"/>
    <w:rsid w:val="00AB2F6F"/>
    <w:rsid w:val="00AB6C44"/>
    <w:rsid w:val="00AB7C82"/>
    <w:rsid w:val="00AC51D4"/>
    <w:rsid w:val="00AC778C"/>
    <w:rsid w:val="00AD0DBA"/>
    <w:rsid w:val="00AD4281"/>
    <w:rsid w:val="00AE1339"/>
    <w:rsid w:val="00AF1CAF"/>
    <w:rsid w:val="00AF47FF"/>
    <w:rsid w:val="00AF7002"/>
    <w:rsid w:val="00B0369C"/>
    <w:rsid w:val="00B0593B"/>
    <w:rsid w:val="00B249DE"/>
    <w:rsid w:val="00B2545F"/>
    <w:rsid w:val="00B3368D"/>
    <w:rsid w:val="00B40190"/>
    <w:rsid w:val="00B53438"/>
    <w:rsid w:val="00B5483C"/>
    <w:rsid w:val="00B7344B"/>
    <w:rsid w:val="00B746AA"/>
    <w:rsid w:val="00B84574"/>
    <w:rsid w:val="00B84748"/>
    <w:rsid w:val="00B92BCA"/>
    <w:rsid w:val="00BC7ADD"/>
    <w:rsid w:val="00BD6BA4"/>
    <w:rsid w:val="00BE554D"/>
    <w:rsid w:val="00BE60F7"/>
    <w:rsid w:val="00BF4E5C"/>
    <w:rsid w:val="00BF5D3C"/>
    <w:rsid w:val="00BF611F"/>
    <w:rsid w:val="00C03B5E"/>
    <w:rsid w:val="00C03D83"/>
    <w:rsid w:val="00C07603"/>
    <w:rsid w:val="00C14E90"/>
    <w:rsid w:val="00C17E63"/>
    <w:rsid w:val="00C21D49"/>
    <w:rsid w:val="00C27BCA"/>
    <w:rsid w:val="00C325A8"/>
    <w:rsid w:val="00C32E62"/>
    <w:rsid w:val="00C33225"/>
    <w:rsid w:val="00C35D15"/>
    <w:rsid w:val="00C37846"/>
    <w:rsid w:val="00C74B6A"/>
    <w:rsid w:val="00C864D7"/>
    <w:rsid w:val="00C9101C"/>
    <w:rsid w:val="00C97D59"/>
    <w:rsid w:val="00CA4280"/>
    <w:rsid w:val="00CA5743"/>
    <w:rsid w:val="00CC7BAE"/>
    <w:rsid w:val="00CD3BF7"/>
    <w:rsid w:val="00CD5CCE"/>
    <w:rsid w:val="00D137CF"/>
    <w:rsid w:val="00D144BD"/>
    <w:rsid w:val="00D21490"/>
    <w:rsid w:val="00D21FC2"/>
    <w:rsid w:val="00D23CE9"/>
    <w:rsid w:val="00D271D4"/>
    <w:rsid w:val="00D27C7D"/>
    <w:rsid w:val="00D3270A"/>
    <w:rsid w:val="00D328AD"/>
    <w:rsid w:val="00D43145"/>
    <w:rsid w:val="00D456A3"/>
    <w:rsid w:val="00D47F76"/>
    <w:rsid w:val="00D50750"/>
    <w:rsid w:val="00D64B7D"/>
    <w:rsid w:val="00D8383E"/>
    <w:rsid w:val="00D871B0"/>
    <w:rsid w:val="00D9391F"/>
    <w:rsid w:val="00D97B35"/>
    <w:rsid w:val="00DA0E66"/>
    <w:rsid w:val="00DA36CF"/>
    <w:rsid w:val="00DA37DE"/>
    <w:rsid w:val="00DA4FE4"/>
    <w:rsid w:val="00DC4D02"/>
    <w:rsid w:val="00DC793B"/>
    <w:rsid w:val="00DF2CA1"/>
    <w:rsid w:val="00E02931"/>
    <w:rsid w:val="00E15FE7"/>
    <w:rsid w:val="00E24079"/>
    <w:rsid w:val="00E30EEF"/>
    <w:rsid w:val="00E362D2"/>
    <w:rsid w:val="00E42987"/>
    <w:rsid w:val="00E43E6A"/>
    <w:rsid w:val="00E458EB"/>
    <w:rsid w:val="00E470B6"/>
    <w:rsid w:val="00E5699D"/>
    <w:rsid w:val="00E57FFB"/>
    <w:rsid w:val="00E66E98"/>
    <w:rsid w:val="00E86AD1"/>
    <w:rsid w:val="00EA5DAA"/>
    <w:rsid w:val="00EA79DE"/>
    <w:rsid w:val="00EB5089"/>
    <w:rsid w:val="00EC49CC"/>
    <w:rsid w:val="00ED35EC"/>
    <w:rsid w:val="00EE1481"/>
    <w:rsid w:val="00EE41C5"/>
    <w:rsid w:val="00F01005"/>
    <w:rsid w:val="00F034FC"/>
    <w:rsid w:val="00F04597"/>
    <w:rsid w:val="00F0642D"/>
    <w:rsid w:val="00F0648F"/>
    <w:rsid w:val="00F10967"/>
    <w:rsid w:val="00F117D3"/>
    <w:rsid w:val="00F127BE"/>
    <w:rsid w:val="00F13C00"/>
    <w:rsid w:val="00F1529D"/>
    <w:rsid w:val="00F15BA2"/>
    <w:rsid w:val="00F15C8D"/>
    <w:rsid w:val="00F22B27"/>
    <w:rsid w:val="00F26B1D"/>
    <w:rsid w:val="00F306CF"/>
    <w:rsid w:val="00F326E4"/>
    <w:rsid w:val="00F35BCD"/>
    <w:rsid w:val="00F435F2"/>
    <w:rsid w:val="00F46802"/>
    <w:rsid w:val="00F6242E"/>
    <w:rsid w:val="00F81193"/>
    <w:rsid w:val="00F85786"/>
    <w:rsid w:val="00F859B0"/>
    <w:rsid w:val="00F869CC"/>
    <w:rsid w:val="00F9519B"/>
    <w:rsid w:val="00F96016"/>
    <w:rsid w:val="00FA1A4A"/>
    <w:rsid w:val="00FA4F55"/>
    <w:rsid w:val="00FB0767"/>
    <w:rsid w:val="00FB7048"/>
    <w:rsid w:val="00FC77BC"/>
    <w:rsid w:val="00FD72EC"/>
    <w:rsid w:val="00FE073F"/>
    <w:rsid w:val="00FF5196"/>
    <w:rsid w:val="08B82230"/>
    <w:rsid w:val="11F527B8"/>
    <w:rsid w:val="15B503F6"/>
    <w:rsid w:val="1B175B8E"/>
    <w:rsid w:val="23B61E3B"/>
    <w:rsid w:val="2BBD7C6F"/>
    <w:rsid w:val="347C420B"/>
    <w:rsid w:val="49FF6B83"/>
    <w:rsid w:val="50A144E4"/>
    <w:rsid w:val="56B7533E"/>
    <w:rsid w:val="66F341C6"/>
    <w:rsid w:val="6B1116E5"/>
    <w:rsid w:val="788858AF"/>
    <w:rsid w:val="7C9C0991"/>
    <w:rsid w:val="7D514D77"/>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16"/>
    <w:qFormat/>
    <w:uiPriority w:val="9"/>
    <w:pPr>
      <w:keepNext/>
      <w:keepLines/>
      <w:spacing w:before="340" w:after="330"/>
      <w:ind w:firstLine="0" w:firstLineChars="0"/>
      <w:jc w:val="center"/>
      <w:outlineLvl w:val="0"/>
    </w:pPr>
    <w:rPr>
      <w:b/>
      <w:bCs/>
      <w:kern w:val="44"/>
      <w:sz w:val="32"/>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cstheme="majorBidi"/>
      <w:b/>
      <w:bCs/>
      <w:sz w:val="28"/>
      <w:szCs w:val="32"/>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toc 3"/>
    <w:basedOn w:val="1"/>
    <w:next w:val="1"/>
    <w:unhideWhenUsed/>
    <w:qFormat/>
    <w:uiPriority w:val="39"/>
    <w:pPr>
      <w:ind w:left="840" w:leftChars="400"/>
    </w:pPr>
  </w:style>
  <w:style w:type="paragraph" w:styleId="5">
    <w:name w:val="Balloon Text"/>
    <w:basedOn w:val="1"/>
    <w:link w:val="22"/>
    <w:semiHidden/>
    <w:unhideWhenUsed/>
    <w:qFormat/>
    <w:uiPriority w:val="99"/>
    <w:pPr>
      <w:spacing w:line="240" w:lineRule="auto"/>
    </w:pPr>
    <w:rPr>
      <w:sz w:val="18"/>
      <w:szCs w:val="18"/>
    </w:rPr>
  </w:style>
  <w:style w:type="paragraph" w:styleId="6">
    <w:name w:val="footer"/>
    <w:basedOn w:val="1"/>
    <w:link w:val="19"/>
    <w:unhideWhenUsed/>
    <w:qFormat/>
    <w:uiPriority w:val="99"/>
    <w:pPr>
      <w:tabs>
        <w:tab w:val="center" w:pos="4153"/>
        <w:tab w:val="right" w:pos="8306"/>
      </w:tabs>
      <w:snapToGrid w:val="0"/>
      <w:spacing w:line="240" w:lineRule="auto"/>
      <w:jc w:val="left"/>
    </w:pPr>
    <w:rPr>
      <w:sz w:val="18"/>
      <w:szCs w:val="18"/>
    </w:rPr>
  </w:style>
  <w:style w:type="paragraph" w:styleId="7">
    <w:name w:val="header"/>
    <w:basedOn w:val="1"/>
    <w:link w:val="18"/>
    <w:unhideWhenUsed/>
    <w:qFormat/>
    <w:uiPriority w:val="99"/>
    <w:pPr>
      <w:pBdr>
        <w:bottom w:val="single" w:color="auto" w:sz="6" w:space="1"/>
      </w:pBdr>
      <w:tabs>
        <w:tab w:val="center" w:pos="4153"/>
        <w:tab w:val="right" w:pos="8306"/>
      </w:tabs>
      <w:snapToGrid w:val="0"/>
      <w:spacing w:line="240" w:lineRule="auto"/>
      <w:ind w:firstLine="0" w:firstLineChars="0"/>
      <w:jc w:val="center"/>
    </w:pPr>
    <w:rPr>
      <w:rFonts w:eastAsiaTheme="minorEastAsia"/>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rPr>
  </w:style>
  <w:style w:type="character" w:customStyle="1" w:styleId="14">
    <w:name w:val="标题 2 字符"/>
    <w:basedOn w:val="12"/>
    <w:link w:val="3"/>
    <w:qFormat/>
    <w:uiPriority w:val="9"/>
    <w:rPr>
      <w:rFonts w:eastAsia="宋体" w:asciiTheme="majorHAnsi" w:hAnsiTheme="majorHAnsi" w:cstheme="majorBidi"/>
      <w:b/>
      <w:bCs/>
      <w:sz w:val="28"/>
      <w:szCs w:val="32"/>
    </w:rPr>
  </w:style>
  <w:style w:type="paragraph" w:styleId="15">
    <w:name w:val="List Paragraph"/>
    <w:basedOn w:val="1"/>
    <w:qFormat/>
    <w:uiPriority w:val="34"/>
    <w:pPr>
      <w:ind w:firstLine="420"/>
    </w:pPr>
  </w:style>
  <w:style w:type="character" w:customStyle="1" w:styleId="16">
    <w:name w:val="标题 1 字符"/>
    <w:basedOn w:val="12"/>
    <w:link w:val="2"/>
    <w:qFormat/>
    <w:uiPriority w:val="9"/>
    <w:rPr>
      <w:rFonts w:eastAsia="宋体"/>
      <w:b/>
      <w:bCs/>
      <w:kern w:val="44"/>
      <w:sz w:val="32"/>
      <w:szCs w:val="44"/>
    </w:rPr>
  </w:style>
  <w:style w:type="paragraph" w:customStyle="1" w:styleId="17">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496" w:themeColor="accent1" w:themeShade="BF"/>
      <w:kern w:val="0"/>
      <w:szCs w:val="32"/>
    </w:rPr>
  </w:style>
  <w:style w:type="character" w:customStyle="1" w:styleId="18">
    <w:name w:val="页眉 字符"/>
    <w:basedOn w:val="12"/>
    <w:link w:val="7"/>
    <w:uiPriority w:val="99"/>
    <w:rPr>
      <w:sz w:val="18"/>
      <w:szCs w:val="18"/>
    </w:rPr>
  </w:style>
  <w:style w:type="character" w:customStyle="1" w:styleId="19">
    <w:name w:val="页脚 字符"/>
    <w:basedOn w:val="12"/>
    <w:link w:val="6"/>
    <w:uiPriority w:val="99"/>
    <w:rPr>
      <w:rFonts w:eastAsia="宋体"/>
      <w:sz w:val="18"/>
      <w:szCs w:val="18"/>
    </w:rPr>
  </w:style>
  <w:style w:type="paragraph" w:styleId="20">
    <w:name w:val="No Spacing"/>
    <w:link w:val="21"/>
    <w:qFormat/>
    <w:uiPriority w:val="1"/>
    <w:rPr>
      <w:rFonts w:asciiTheme="minorHAnsi" w:hAnsiTheme="minorHAnsi" w:eastAsiaTheme="minorEastAsia" w:cstheme="minorBidi"/>
      <w:sz w:val="22"/>
      <w:szCs w:val="22"/>
      <w:lang w:val="en-US" w:eastAsia="zh-CN" w:bidi="ar-SA"/>
    </w:rPr>
  </w:style>
  <w:style w:type="character" w:customStyle="1" w:styleId="21">
    <w:name w:val="无间隔 字符"/>
    <w:basedOn w:val="12"/>
    <w:link w:val="20"/>
    <w:qFormat/>
    <w:uiPriority w:val="1"/>
    <w:rPr>
      <w:kern w:val="0"/>
      <w:sz w:val="22"/>
    </w:rPr>
  </w:style>
  <w:style w:type="character" w:customStyle="1" w:styleId="22">
    <w:name w:val="批注框文本 字符"/>
    <w:basedOn w:val="12"/>
    <w:link w:val="5"/>
    <w:semiHidden/>
    <w:qFormat/>
    <w:uiPriority w:val="99"/>
    <w:rPr>
      <w:rFonts w:eastAsia="宋体"/>
      <w:kern w:val="2"/>
      <w:sz w:val="18"/>
      <w:szCs w:val="18"/>
    </w:rPr>
  </w:style>
  <w:style w:type="character" w:styleId="23">
    <w:name w:val="Placeholder Text"/>
    <w:basedOn w:val="12"/>
    <w:semiHidden/>
    <w:qFormat/>
    <w:uiPriority w:val="99"/>
    <w:rPr>
      <w:color w:val="808080"/>
    </w:rPr>
  </w:style>
  <w:style w:type="paragraph" w:customStyle="1" w:styleId="24">
    <w:name w:val="WPSOffice手动目录 1"/>
    <w:uiPriority w:val="0"/>
    <w:rPr>
      <w:rFonts w:asciiTheme="minorHAnsi" w:hAnsiTheme="minorHAnsi" w:eastAsiaTheme="minorEastAsia" w:cstheme="minorBidi"/>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6" Type="http://schemas.openxmlformats.org/officeDocument/2006/relationships/fontTable" Target="fontTable.xml"/><Relationship Id="rId85" Type="http://schemas.openxmlformats.org/officeDocument/2006/relationships/customXml" Target="../customXml/item2.xml"/><Relationship Id="rId84" Type="http://schemas.openxmlformats.org/officeDocument/2006/relationships/customXml" Target="../customXml/item1.xml"/><Relationship Id="rId83" Type="http://schemas.openxmlformats.org/officeDocument/2006/relationships/numbering" Target="numbering.xml"/><Relationship Id="rId82" Type="http://schemas.openxmlformats.org/officeDocument/2006/relationships/image" Target="media/image72.png"/><Relationship Id="rId81" Type="http://schemas.openxmlformats.org/officeDocument/2006/relationships/image" Target="media/image71.png"/><Relationship Id="rId80" Type="http://schemas.openxmlformats.org/officeDocument/2006/relationships/image" Target="media/image70.png"/><Relationship Id="rId8" Type="http://schemas.openxmlformats.org/officeDocument/2006/relationships/footer" Target="footer1.xml"/><Relationship Id="rId79" Type="http://schemas.openxmlformats.org/officeDocument/2006/relationships/image" Target="media/image69.png"/><Relationship Id="rId78" Type="http://schemas.openxmlformats.org/officeDocument/2006/relationships/image" Target="media/image68.png"/><Relationship Id="rId77" Type="http://schemas.openxmlformats.org/officeDocument/2006/relationships/image" Target="media/image67.png"/><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header" Target="header3.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header" Target="head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00B3E84A-029C-4AB8-BA79-40036A84D12D}">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57</Pages>
  <Words>15724</Words>
  <Characters>17274</Characters>
  <Lines>131</Lines>
  <Paragraphs>37</Paragraphs>
  <TotalTime>42</TotalTime>
  <ScaleCrop>false</ScaleCrop>
  <LinksUpToDate>false</LinksUpToDate>
  <CharactersWithSpaces>17329</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2021-10-08T08:48:00Z</dcterms:created>
  <dc:creator>张 镕瑾</dc:creator>
  <cp:lastModifiedBy>管凯敏</cp:lastModifiedBy>
  <dcterms:modified xsi:type="dcterms:W3CDTF">2024-11-30T20:09:18Z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3CA45D17A45A4FEE943EED1DA3FA0B00</vt:lpwstr>
  </property>
</Properties>
</file>