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4D091">
      <w:pPr>
        <w:pStyle w:val="33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中间轴2的结构设计和强度校核</w:t>
      </w:r>
    </w:p>
    <w:p w14:paraId="7B00AB2B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轴材料选用调质后的45号钢</w:t>
      </w:r>
    </w:p>
    <w:p w14:paraId="51B8AA84">
      <w:pPr>
        <w:rPr>
          <w:rFonts w:hint="eastAsia" w:ascii="Cambria Math" w:hAnsi="Cambria Math"/>
          <w:iCs/>
        </w:rPr>
      </w:pPr>
      <w:r>
        <w:rPr>
          <w:rFonts w:hint="eastAsia" w:ascii="Cambria Math" w:hAnsi="Cambria Math"/>
          <w:iCs/>
        </w:rPr>
        <w:t>查表12-1得其抗拉强度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=650MPa</m:t>
        </m:r>
      </m:oMath>
      <w:r>
        <w:rPr>
          <w:rFonts w:hint="eastAsia" w:ascii="Cambria Math" w:hAnsi="Cambria Math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275</m:t>
        </m:r>
        <m:r>
          <m:rPr/>
          <w:rPr>
            <w:rFonts w:hint="eastAsia" w:ascii="Cambria Math" w:hAnsi="Cambria Math"/>
          </w:rPr>
          <m:t>MP</m:t>
        </m:r>
        <m:r>
          <m:rPr/>
          <w:rPr>
            <w:rFonts w:ascii="Cambria Math" w:hAnsi="Cambria Math"/>
          </w:rPr>
          <m:t>a</m:t>
        </m:r>
      </m:oMath>
      <w:r>
        <w:rPr>
          <w:rFonts w:hint="eastAsia" w:ascii="Cambria Math" w:hAnsi="Cambria Math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=155MPa</m:t>
        </m:r>
      </m:oMath>
    </w:p>
    <w:p w14:paraId="3A7DA20D">
      <w:pPr>
        <w:rPr>
          <w:rFonts w:ascii="Cambria Math" w:hAnsi="Cambria Math"/>
        </w:rPr>
      </w:pPr>
      <w:r>
        <w:rPr>
          <w:rFonts w:hint="eastAsia" w:ascii="Cambria Math" w:hAnsi="Cambria Math"/>
          <w:iCs/>
        </w:rPr>
        <w:t>查表12-3得其受对称循环应力时轴的许用弯曲应力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=60MPa</m:t>
        </m:r>
      </m:oMath>
    </w:p>
    <w:p w14:paraId="0F25EBC5"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轴的扭转切应力为脉动循环应力，取应力矫正系数</w:t>
      </w:r>
      <m:oMath>
        <m:r>
          <m:rPr/>
          <w:rPr>
            <w:rFonts w:hint="eastAsia" w:ascii="Cambria Math" w:hAnsi="Cambria Math"/>
          </w:rPr>
          <m:t>α=0.6</m:t>
        </m:r>
      </m:oMath>
    </w:p>
    <w:p w14:paraId="5BFC7453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bookmarkStart w:id="0" w:name="_Ref185109471"/>
      <w:r>
        <w:rPr>
          <w:rFonts w:hint="eastAsia" w:ascii="Cambria Math" w:hAnsi="Cambria Math"/>
          <w:iCs/>
        </w:rPr>
        <w:t>齿轮受力分析</w:t>
      </w:r>
      <w:bookmarkEnd w:id="0"/>
    </w:p>
    <w:p w14:paraId="613E7EBF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=3.82×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N∙mm </m:t>
          </m:r>
        </m:oMath>
      </m:oMathPara>
    </w:p>
    <w:p w14:paraId="15A6D91E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=11.10kN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=4.15kN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func>
              <m:r>
                <m:rPr/>
                <w:rPr>
                  <w:rFonts w:ascii="Cambria Math" w:hAnsi="Cambria Math"/>
                </w:rPr>
                <m:t>=2.53kN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=44.94kN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=16.63kN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func>
              <m:r>
                <m:rPr/>
                <w:rPr>
                  <w:rFonts w:ascii="Cambria Math" w:hAnsi="Cambria Math"/>
                </w:rPr>
                <m:t>=8.32kN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21CED48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bookmarkStart w:id="1" w:name="_Ref185109761"/>
      <w:r>
        <w:rPr>
          <w:rFonts w:hint="eastAsia" w:ascii="Cambria Math" w:hAnsi="Cambria Math"/>
          <w:iCs/>
        </w:rPr>
        <w:t>轴2的空间受力情况如</w:t>
      </w:r>
      <w:r>
        <w:rPr>
          <w:rFonts w:hint="eastAsia" w:ascii="Cambria Math" w:hAnsi="Cambria Math"/>
          <w:iCs/>
        </w:rPr>
        <w:fldChar w:fldCharType="begin"/>
      </w:r>
      <w:r>
        <w:rPr>
          <w:rFonts w:hint="eastAsia" w:ascii="Cambria Math" w:hAnsi="Cambria Math"/>
          <w:iCs/>
        </w:rPr>
        <w:instrText xml:space="preserve"> REF _Ref14288 \h </w:instrText>
      </w:r>
      <w:r>
        <w:rPr>
          <w:rFonts w:hint="eastAsia" w:ascii="Cambria Math" w:hAnsi="Cambria Math"/>
          <w:iCs/>
        </w:rPr>
        <w:fldChar w:fldCharType="separate"/>
      </w:r>
      <w:r>
        <w:t>图 1</w:t>
      </w:r>
      <w:r>
        <w:rPr>
          <w:rFonts w:hint="eastAsia" w:ascii="Cambria Math" w:hAnsi="Cambria Math"/>
          <w:iCs/>
        </w:rPr>
        <w:fldChar w:fldCharType="end"/>
      </w:r>
      <w:r>
        <w:rPr>
          <w:rFonts w:hint="eastAsia" w:ascii="Cambria Math" w:hAnsi="Cambria Math"/>
          <w:iCs/>
        </w:rPr>
        <w:t>所示，垂直面受力情况如</w:t>
      </w:r>
      <w:r>
        <w:rPr>
          <w:rFonts w:hint="eastAsia" w:ascii="Cambria Math" w:hAnsi="Cambria Math"/>
          <w:iCs/>
        </w:rPr>
        <w:fldChar w:fldCharType="begin"/>
      </w:r>
      <w:r>
        <w:rPr>
          <w:rFonts w:hint="eastAsia" w:ascii="Cambria Math" w:hAnsi="Cambria Math"/>
          <w:iCs/>
        </w:rPr>
        <w:instrText xml:space="preserve"> REF _Ref14321 \h </w:instrText>
      </w:r>
      <w:r>
        <w:rPr>
          <w:rFonts w:hint="eastAsia" w:ascii="Cambria Math" w:hAnsi="Cambria Math"/>
          <w:iCs/>
        </w:rPr>
        <w:fldChar w:fldCharType="separate"/>
      </w:r>
      <w:r>
        <w:t>图 2</w:t>
      </w:r>
      <w:r>
        <w:rPr>
          <w:rFonts w:hint="eastAsia" w:ascii="Cambria Math" w:hAnsi="Cambria Math"/>
          <w:iCs/>
        </w:rPr>
        <w:fldChar w:fldCharType="end"/>
      </w:r>
      <w:r>
        <w:rPr>
          <w:rFonts w:hint="eastAsia" w:ascii="Cambria Math" w:hAnsi="Cambria Math"/>
          <w:iCs/>
        </w:rPr>
        <w:t>所示，水平面受力情况如</w:t>
      </w:r>
      <w:r>
        <w:rPr>
          <w:rFonts w:hint="eastAsia" w:ascii="Cambria Math" w:hAnsi="Cambria Math"/>
          <w:iCs/>
        </w:rPr>
        <w:fldChar w:fldCharType="begin"/>
      </w:r>
      <w:r>
        <w:rPr>
          <w:rFonts w:hint="eastAsia" w:ascii="Cambria Math" w:hAnsi="Cambria Math"/>
          <w:iCs/>
        </w:rPr>
        <w:instrText xml:space="preserve"> REF _Ref14340 \h </w:instrText>
      </w:r>
      <w:r>
        <w:rPr>
          <w:rFonts w:hint="eastAsia" w:ascii="Cambria Math" w:hAnsi="Cambria Math"/>
          <w:iCs/>
        </w:rPr>
        <w:fldChar w:fldCharType="separate"/>
      </w:r>
      <w:r>
        <w:t>图 3</w:t>
      </w:r>
      <w:r>
        <w:rPr>
          <w:rFonts w:hint="eastAsia" w:ascii="Cambria Math" w:hAnsi="Cambria Math"/>
          <w:iCs/>
        </w:rPr>
        <w:fldChar w:fldCharType="end"/>
      </w:r>
      <w:r>
        <w:rPr>
          <w:rFonts w:hint="eastAsia" w:ascii="Cambria Math" w:hAnsi="Cambria Math"/>
          <w:iCs/>
        </w:rPr>
        <w:t>所示。</w:t>
      </w:r>
      <w:bookmarkEnd w:id="1"/>
    </w:p>
    <w:p w14:paraId="652BFA1A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hint="eastAsia"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=33.44kN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hint="eastAsia"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DV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=22.61kN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AH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a3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a2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=7.26</m:t>
              </m:r>
              <m:r>
                <m:rPr/>
                <w:rPr>
                  <w:rFonts w:hint="eastAsia" w:ascii="Cambria Math" w:hAnsi="Cambria Math"/>
                </w:rPr>
                <m:t>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DH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AH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=5.22kN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eqArr>
          <m:r>
            <m:rPr/>
            <w:rPr>
              <w:rFonts w:ascii="Cambria Math" w:hAnsi="Cambria Math"/>
            </w:rPr>
            <m:t xml:space="preserve"> </m:t>
          </m:r>
        </m:oMath>
      </m:oMathPara>
    </w:p>
    <w:p w14:paraId="08FFE61A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=4.85×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N∙mm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CV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DV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=2.26×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N∙mm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BH1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=1.05×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N∙mm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BH2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AH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a3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=1.76×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N∙mm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CH1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DH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a2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=−0.35×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N∙mm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CH2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DH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=0.52×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N∙mm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8D25FD">
      <w:pPr>
        <w:jc w:val="center"/>
        <w:rPr>
          <w:rFonts w:ascii="Cambria Math" w:hAnsi="Cambria Math"/>
          <w:iCs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=3.82×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N∙mm</m:t>
        </m:r>
      </m:oMath>
      <w:r>
        <w:rPr>
          <w:rFonts w:hint="eastAsia" w:ascii="Cambria Math" w:hAnsi="Cambria Math"/>
        </w:rPr>
        <w:t xml:space="preserve"> </w:t>
      </w:r>
      <w:r>
        <w:rPr>
          <w:rFonts w:ascii="Cambria Math" w:hAnsi="Cambria Math"/>
          <w:iCs/>
          <w:vertAlign w:val="superscript"/>
        </w:rPr>
        <w:fldChar w:fldCharType="begin"/>
      </w:r>
      <w:r>
        <w:rPr>
          <w:rFonts w:ascii="Cambria Math" w:hAnsi="Cambria Math"/>
          <w:iCs/>
          <w:vertAlign w:val="superscript"/>
        </w:rPr>
        <w:instrText xml:space="preserve"> REF _Ref185109471 \r \h  \* MERGEFORMAT </w:instrText>
      </w:r>
      <w:r>
        <w:rPr>
          <w:rFonts w:ascii="Cambria Math" w:hAnsi="Cambria Math"/>
          <w:iCs/>
          <w:vertAlign w:val="superscript"/>
        </w:rPr>
        <w:fldChar w:fldCharType="separate"/>
      </w:r>
      <w:r>
        <w:rPr>
          <w:rFonts w:ascii="Cambria Math" w:hAnsi="Cambria Math"/>
          <w:iCs/>
          <w:vertAlign w:val="superscript"/>
        </w:rPr>
        <w:t>b)</w:t>
      </w:r>
      <w:r>
        <w:rPr>
          <w:rFonts w:ascii="Cambria Math" w:hAnsi="Cambria Math"/>
          <w:iCs/>
          <w:vertAlign w:val="superscript"/>
        </w:rPr>
        <w:fldChar w:fldCharType="end"/>
      </w:r>
    </w:p>
    <w:p w14:paraId="45A438B3">
      <w:pPr>
        <w:keepNext/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drawing>
          <wp:inline distT="0" distB="0" distL="0" distR="0">
            <wp:extent cx="2953385" cy="1748155"/>
            <wp:effectExtent l="0" t="0" r="5715" b="4445"/>
            <wp:docPr id="209905991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9918" name="图片 1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65D2">
      <w:pPr>
        <w:pStyle w:val="11"/>
        <w:keepNext/>
        <w:jc w:val="center"/>
        <w:rPr>
          <w:rFonts w:ascii="Cambria Math" w:hAnsi="Cambria Math"/>
        </w:rPr>
      </w:pPr>
      <w:bookmarkStart w:id="2" w:name="_Ref1428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2"/>
      <w:r>
        <w:rPr>
          <w:rFonts w:hint="eastAsia"/>
        </w:rPr>
        <w:t>空间受力情况</w:t>
      </w:r>
    </w:p>
    <w:p w14:paraId="4FA91634">
      <w:pPr>
        <w:keepNext/>
        <w:jc w:val="center"/>
        <w:rPr>
          <w:rFonts w:hint="eastAsia"/>
        </w:rPr>
      </w:pPr>
      <w:r>
        <w:drawing>
          <wp:inline distT="0" distB="0" distL="0" distR="0">
            <wp:extent cx="2771775" cy="1172210"/>
            <wp:effectExtent l="0" t="0" r="9525" b="8890"/>
            <wp:docPr id="199996146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61468" name="图片 1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drawing>
          <wp:inline distT="0" distB="0" distL="0" distR="0">
            <wp:extent cx="2439670" cy="1191895"/>
            <wp:effectExtent l="0" t="0" r="11430" b="1905"/>
            <wp:docPr id="74846926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69267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C36B">
      <w:pPr>
        <w:pStyle w:val="11"/>
        <w:keepNext/>
        <w:ind w:firstLine="708"/>
        <w:jc w:val="center"/>
        <w:rPr>
          <w:rFonts w:hint="eastAsia"/>
        </w:rPr>
      </w:pPr>
      <w:bookmarkStart w:id="3" w:name="_Ref1432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3"/>
      <w:r>
        <w:rPr>
          <w:rFonts w:hint="eastAsia"/>
        </w:rPr>
        <w:t>垂直面受力情况</w:t>
      </w:r>
      <w:bookmarkStart w:id="4" w:name="_Ref14340"/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 xml:space="preserve">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hint="eastAsia"/>
        </w:rPr>
        <w:t>水平面受力情况</w:t>
      </w:r>
    </w:p>
    <w:p w14:paraId="4E8B16AD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由</w:t>
      </w:r>
      <w:r>
        <w:rPr>
          <w:rFonts w:ascii="Cambria Math" w:hAnsi="Cambria Math"/>
          <w:iCs/>
        </w:rPr>
        <w:fldChar w:fldCharType="begin"/>
      </w:r>
      <w:r>
        <w:rPr>
          <w:rFonts w:ascii="Cambria Math" w:hAnsi="Cambria Math"/>
          <w:iCs/>
        </w:rPr>
        <w:instrText xml:space="preserve"> </w:instrText>
      </w:r>
      <w:r>
        <w:rPr>
          <w:rFonts w:hint="eastAsia" w:ascii="Cambria Math" w:hAnsi="Cambria Math"/>
          <w:iCs/>
        </w:rPr>
        <w:instrText xml:space="preserve">REF _Ref185109761 \r \h</w:instrText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/>
          <w:iCs/>
        </w:rPr>
        <w:fldChar w:fldCharType="separate"/>
      </w:r>
      <w:r>
        <w:rPr>
          <w:rFonts w:ascii="Cambria Math" w:hAnsi="Cambria Math"/>
          <w:iCs/>
        </w:rPr>
        <w:t>c)</w:t>
      </w:r>
      <w:r>
        <w:rPr>
          <w:rFonts w:ascii="Cambria Math" w:hAnsi="Cambria Math"/>
          <w:iCs/>
        </w:rPr>
        <w:fldChar w:fldCharType="end"/>
      </w:r>
      <w:r>
        <w:rPr>
          <w:rFonts w:hint="eastAsia" w:ascii="Cambria Math" w:hAnsi="Cambria Math"/>
          <w:iCs/>
        </w:rPr>
        <w:t>做出</w:t>
      </w:r>
      <w:r>
        <w:rPr>
          <w:rFonts w:hint="eastAsia" w:ascii="Cambria Math" w:hAnsi="Cambria Math"/>
          <w:iCs/>
        </w:rPr>
        <w:fldChar w:fldCharType="begin"/>
      </w:r>
      <w:r>
        <w:rPr>
          <w:rFonts w:hint="eastAsia" w:ascii="Cambria Math" w:hAnsi="Cambria Math"/>
          <w:iCs/>
        </w:rPr>
        <w:instrText xml:space="preserve"> REF _Ref14422 \h </w:instrText>
      </w:r>
      <w:r>
        <w:rPr>
          <w:rFonts w:hint="eastAsia" w:ascii="Cambria Math" w:hAnsi="Cambria Math"/>
          <w:iCs/>
        </w:rPr>
        <w:fldChar w:fldCharType="separate"/>
      </w:r>
      <w:r>
        <w:t>图 4</w:t>
      </w:r>
      <w:r>
        <w:rPr>
          <w:rFonts w:hint="eastAsia"/>
        </w:rPr>
        <w:t>垂直面弯矩图</w:t>
      </w:r>
      <w:r>
        <w:rPr>
          <w:rFonts w:hint="eastAsia" w:ascii="Cambria Math" w:hAnsi="Cambria Math"/>
          <w:iCs/>
        </w:rPr>
        <w:fldChar w:fldCharType="end"/>
      </w:r>
      <w:r>
        <w:rPr>
          <w:rFonts w:hint="eastAsia" w:ascii="Cambria Math" w:hAnsi="Cambria Math"/>
          <w:iCs/>
        </w:rPr>
        <w:t>、</w:t>
      </w:r>
      <w:r>
        <w:rPr>
          <w:rFonts w:hint="eastAsia" w:ascii="Cambria Math" w:hAnsi="Cambria Math"/>
          <w:iCs/>
        </w:rPr>
        <w:fldChar w:fldCharType="begin"/>
      </w:r>
      <w:r>
        <w:rPr>
          <w:rFonts w:hint="eastAsia" w:ascii="Cambria Math" w:hAnsi="Cambria Math"/>
          <w:iCs/>
        </w:rPr>
        <w:instrText xml:space="preserve"> REF _Ref14438 \h </w:instrText>
      </w:r>
      <w:r>
        <w:rPr>
          <w:rFonts w:hint="eastAsia" w:ascii="Cambria Math" w:hAnsi="Cambria Math"/>
          <w:iCs/>
        </w:rPr>
        <w:fldChar w:fldCharType="separate"/>
      </w:r>
      <w:r>
        <w:t>图 5</w:t>
      </w:r>
      <w:r>
        <w:rPr>
          <w:rFonts w:hint="eastAsia"/>
        </w:rPr>
        <w:t>水平面弯矩图</w:t>
      </w:r>
      <w:r>
        <w:rPr>
          <w:rFonts w:hint="eastAsia" w:ascii="Cambria Math" w:hAnsi="Cambria Math"/>
          <w:iCs/>
        </w:rPr>
        <w:fldChar w:fldCharType="end"/>
      </w:r>
      <w:r>
        <w:rPr>
          <w:rFonts w:hint="eastAsia" w:ascii="Cambria Math" w:hAnsi="Cambria Math"/>
          <w:iCs/>
        </w:rPr>
        <w:t>、</w:t>
      </w:r>
      <w:r>
        <w:rPr>
          <w:rFonts w:hint="eastAsia" w:ascii="Cambria Math" w:hAnsi="Cambria Math"/>
          <w:iCs/>
        </w:rPr>
        <w:fldChar w:fldCharType="begin"/>
      </w:r>
      <w:r>
        <w:rPr>
          <w:rFonts w:hint="eastAsia" w:ascii="Cambria Math" w:hAnsi="Cambria Math"/>
          <w:iCs/>
        </w:rPr>
        <w:instrText xml:space="preserve"> REF _Ref14451 \h </w:instrText>
      </w:r>
      <w:r>
        <w:rPr>
          <w:rFonts w:hint="eastAsia" w:ascii="Cambria Math" w:hAnsi="Cambria Math"/>
          <w:iCs/>
        </w:rPr>
        <w:fldChar w:fldCharType="separate"/>
      </w:r>
      <w:r>
        <w:t>图 6</w:t>
      </w:r>
      <w:r>
        <w:rPr>
          <w:rFonts w:hint="eastAsia"/>
        </w:rPr>
        <w:t>扭矩图</w:t>
      </w:r>
      <w:r>
        <w:rPr>
          <w:rFonts w:hint="eastAsia" w:ascii="Cambria Math" w:hAnsi="Cambria Math"/>
          <w:iCs/>
        </w:rPr>
        <w:fldChar w:fldCharType="end"/>
      </w:r>
    </w:p>
    <w:p w14:paraId="6B6B3A74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drawing>
          <wp:inline distT="0" distB="0" distL="0" distR="0">
            <wp:extent cx="2179955" cy="770890"/>
            <wp:effectExtent l="0" t="0" r="4445" b="3810"/>
            <wp:docPr id="341557355" name="图片 1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7355" name="图片 1" descr="直方图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iCs/>
        </w:rPr>
        <w:drawing>
          <wp:inline distT="0" distB="0" distL="0" distR="0">
            <wp:extent cx="2315210" cy="931545"/>
            <wp:effectExtent l="0" t="0" r="8890" b="8255"/>
            <wp:docPr id="192688057" name="图片 1" descr="图示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8057" name="图片 1" descr="图示, 直方图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ECC4">
      <w:pPr>
        <w:pStyle w:val="11"/>
        <w:jc w:val="center"/>
        <w:rPr>
          <w:rFonts w:ascii="Cambria Math" w:hAnsi="Cambria Math"/>
        </w:rPr>
      </w:pPr>
      <w:bookmarkStart w:id="5" w:name="_Ref14422"/>
      <w:r>
        <w:rPr>
          <w:rFonts w:hint="eastAsia"/>
          <w:lang w:val="en-US"/>
        </w:rPr>
        <w:t xml:space="preserve">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垂直面弯矩图</w:t>
      </w:r>
      <w:bookmarkEnd w:id="5"/>
      <w:bookmarkStart w:id="6" w:name="_Ref14438"/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 xml:space="preserve">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水平面弯矩图</w:t>
      </w:r>
      <w:bookmarkEnd w:id="6"/>
    </w:p>
    <w:p w14:paraId="3D1A20A0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drawing>
          <wp:inline distT="0" distB="0" distL="0" distR="0">
            <wp:extent cx="2755900" cy="1122680"/>
            <wp:effectExtent l="0" t="0" r="6350" b="1270"/>
            <wp:docPr id="1645502142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02142" name="图片 1" descr="图示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638" cy="1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995">
      <w:pPr>
        <w:pStyle w:val="11"/>
        <w:jc w:val="center"/>
        <w:rPr>
          <w:rFonts w:ascii="Cambria Math" w:hAnsi="Cambria Math"/>
        </w:rPr>
      </w:pPr>
      <w:bookmarkStart w:id="7" w:name="_Ref1445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扭矩图</w:t>
      </w:r>
      <w:bookmarkEnd w:id="7"/>
    </w:p>
    <w:p w14:paraId="36725BBE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显然B截面为危险截面</w:t>
      </w:r>
    </w:p>
    <w:p w14:paraId="005BAA1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hint="eastAsia"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r>
                <m:rPr/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BH2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rad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 w:eastAsia="zh-CN"/>
            </w:rPr>
            <m:t>5.64</m:t>
          </m:r>
          <m:r>
            <m:rPr/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N∙mm</m:t>
          </m:r>
        </m:oMath>
      </m:oMathPara>
    </w:p>
    <w:p w14:paraId="547DBC8F">
      <w:pPr>
        <w:rPr>
          <w:rFonts w:ascii="Cambria Math" w:hAnsi="Cambria Math"/>
          <w:iCs/>
        </w:rPr>
      </w:pPr>
      <m:oMathPara>
        <m:oMath>
          <m:r>
            <m:rPr/>
            <w:rPr>
              <w:rFonts w:hint="eastAsia" w:ascii="Cambria Math" w:hAnsi="Cambria Math"/>
            </w:rPr>
            <m:t>d</m:t>
          </m:r>
          <m:r>
            <m:rPr/>
            <w:rPr>
              <w:rFonts w:ascii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rad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 w:eastAsia="zh-CN"/>
            </w:rPr>
            <m:t>97.99</m:t>
          </m:r>
          <m:r>
            <m:rPr/>
            <w:rPr>
              <w:rFonts w:ascii="Cambria Math" w:hAnsi="Cambria Math"/>
            </w:rPr>
            <m:t>mm</m:t>
          </m:r>
        </m:oMath>
      </m:oMathPara>
    </w:p>
    <w:p w14:paraId="573F60A0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由于轴上开2个键槽，则直径扩大7%，即取</w:t>
      </w:r>
    </w:p>
    <w:p w14:paraId="4B0BFCB0">
      <w:pPr>
        <w:pStyle w:val="33"/>
        <w:numPr>
          <w:numId w:val="0"/>
        </w:numPr>
        <w:rPr>
          <w:rFonts w:ascii="Cambria Math" w:hAnsi="Cambria Math"/>
          <w:iCs/>
        </w:rPr>
      </w:pPr>
      <m:oMathPara>
        <m:oMath>
          <m:r>
            <m:rPr/>
            <w:rPr>
              <w:rFonts w:hint="eastAsia" w:ascii="Cambria Math" w:hAnsi="Cambria Math"/>
            </w:rPr>
            <m:t>d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 w:eastAsia="zh-CN"/>
            </w:rPr>
            <m:t>97.99</m:t>
          </m:r>
          <m:r>
            <m:rPr/>
            <w:rPr>
              <w:rFonts w:ascii="Cambria Math" w:hAnsi="Cambria Math"/>
            </w:rPr>
            <m:t>×1.07</m:t>
          </m:r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r>
            <m:rPr/>
            <w:rPr>
              <w:rFonts w:hint="default" w:ascii="Cambria Math" w:hAnsi="Cambria Math"/>
              <w:lang w:val="en-US" w:eastAsia="zh-CN"/>
            </w:rPr>
            <m:t>104.85mm</m:t>
          </m:r>
          <m:r>
            <m:rPr/>
            <w:rPr>
              <w:rFonts w:ascii="Cambria Math" w:hAnsi="Cambria Math"/>
            </w:rPr>
            <m:t>≈1</m:t>
          </m:r>
          <m:r>
            <m:rPr/>
            <w:rPr>
              <w:rFonts w:hint="default" w:ascii="Cambria Math" w:hAnsi="Cambria Math"/>
              <w:lang w:val="en-US" w:eastAsia="zh-CN"/>
            </w:rPr>
            <m:t>05</m:t>
          </m:r>
          <m:r>
            <m:rPr/>
            <w:rPr>
              <w:rFonts w:ascii="Cambria Math" w:hAnsi="Cambria Math"/>
            </w:rPr>
            <m:t>mm</m:t>
          </m:r>
        </m:oMath>
      </m:oMathPara>
    </w:p>
    <w:p w14:paraId="230CACC3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精确计算疲劳强度</w:t>
      </w:r>
    </w:p>
    <w:p w14:paraId="25F3229B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&amp;S=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94BA056"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其中，取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=1.5</m:t>
        </m:r>
      </m:oMath>
      <w:r>
        <w:rPr>
          <w:rFonts w:hint="eastAsia" w:ascii="Cambria Math" w:hAnsi="Cambria Math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0.2</m:t>
        </m:r>
      </m:oMath>
      <w:r>
        <w:rPr>
          <w:rFonts w:hint="eastAsia" w:ascii="Cambria Math" w:hAnsi="Cambria Math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=0.1</m:t>
        </m:r>
      </m:oMath>
      <w:r>
        <w:rPr>
          <w:rFonts w:hint="eastAsia" w:ascii="Cambria Math" w:hAnsi="Cambria Math"/>
          <w:iCs/>
        </w:rPr>
        <w:t>，查表12-4得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1.76</m:t>
        </m:r>
        <m:r>
          <m:rPr/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1.54</m:t>
        </m:r>
      </m:oMath>
      <w:r>
        <w:rPr>
          <w:rFonts w:hint="eastAsia" w:ascii="Cambria Math" w:hAnsi="Cambria Math"/>
          <w:iCs/>
        </w:rPr>
        <w:t>，查表12-7得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0.70</m:t>
        </m:r>
      </m:oMath>
      <w:r>
        <w:rPr>
          <w:rFonts w:hint="eastAsia" w:ascii="Cambria Math" w:hAnsi="Cambria Math"/>
          <w:iCs/>
        </w:rPr>
        <w:t>，查表12-8得表面质量系数</w:t>
      </w:r>
      <m:oMath>
        <m:r>
          <m:rPr/>
          <w:rPr>
            <w:rFonts w:ascii="Cambria Math" w:hAnsi="Cambria Math"/>
          </w:rPr>
          <m:t>β≈0.93</m:t>
        </m:r>
      </m:oMath>
      <w:r>
        <w:rPr>
          <w:rFonts w:hint="eastAsia" w:ascii="Cambria Math" w:hAnsi="Cambria Math"/>
          <w:iCs/>
        </w:rPr>
        <w:t>，按无限寿命考虑取寿命系数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</w:p>
    <w:p w14:paraId="5589B04A">
      <w:pPr>
        <w:rPr>
          <w:rFonts w:hint="eastAsia" w:ascii="Cambria Math" w:hAnsi="Cambria Math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BV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BH2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45.39</m:t>
              </m:r>
              <m:r>
                <m:rPr/>
                <w:rPr>
                  <w:rFonts w:ascii="Cambria Math" w:hAnsi="Cambria Math"/>
                </w:rPr>
                <m:t>M</m:t>
              </m:r>
              <m:r>
                <m:rPr/>
                <w:rPr>
                  <w:rFonts w:hint="eastAsia" w:ascii="Cambria Math" w:hAnsi="Cambria Math"/>
                </w:rPr>
                <m:t>Pa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=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8.40</m:t>
              </m:r>
              <m:r>
                <m:rPr/>
                <w:rPr>
                  <w:rFonts w:ascii="Cambria Math" w:hAnsi="Cambria Math"/>
                </w:rPr>
                <m:t>MPa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28BAE59"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解得</w:t>
      </w:r>
    </w:p>
    <w:p w14:paraId="67DD7C79">
      <w:pPr>
        <w:rPr>
          <w:rFonts w:ascii="Cambria Math" w:hAnsi="Cambria Math"/>
          <w:iCs/>
        </w:rPr>
      </w:pPr>
      <m:oMathPara>
        <m:oMath>
          <m:r>
            <m:rPr/>
            <w:rPr>
              <w:rFonts w:ascii="Cambria Math" w:hAnsi="Cambria Math"/>
            </w:rPr>
            <m:t>S=2.</m:t>
          </m:r>
          <m:r>
            <m:rPr/>
            <w:rPr>
              <w:rFonts w:hint="default" w:ascii="Cambria Math" w:hAnsi="Cambria Math"/>
              <w:lang w:val="en-US" w:eastAsia="zh-CN"/>
            </w:rPr>
            <m:t>15</m:t>
          </m:r>
          <w:bookmarkStart w:id="8" w:name="_GoBack"/>
          <w:bookmarkEnd w:id="8"/>
          <m:r>
            <m:rPr/>
            <w:rPr>
              <w:rFonts w:ascii="Cambria Math" w:hAnsi="Cambria Math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E04E25D">
      <w:p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因此轴具有足够疲劳强度，安全。</w:t>
      </w:r>
    </w:p>
    <w:p w14:paraId="5C99FD50">
      <w:pPr>
        <w:widowControl/>
        <w:spacing w:after="0" w:line="240" w:lineRule="auto"/>
        <w:jc w:val="left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br w:type="page"/>
      </w:r>
    </w:p>
    <w:p w14:paraId="56B531C6">
      <w:pPr>
        <w:pStyle w:val="33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选择轴2的轴承类型和型号(角接触球轴承)</w:t>
      </w:r>
    </w:p>
    <w:p w14:paraId="662C433A">
      <w:pPr>
        <w:pStyle w:val="33"/>
        <w:numPr>
          <w:ilvl w:val="1"/>
          <w:numId w:val="1"/>
        </w:numPr>
        <w:rPr>
          <w:rFonts w:ascii="Cambria Math" w:hAnsi="Cambria Math"/>
          <w:iCs/>
        </w:rPr>
      </w:pPr>
    </w:p>
    <w:p w14:paraId="7B9B29A8">
      <w:pPr>
        <w:widowControl/>
        <w:spacing w:after="0" w:line="240" w:lineRule="auto"/>
        <w:jc w:val="left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br w:type="page"/>
      </w:r>
    </w:p>
    <w:p w14:paraId="30B39D6A">
      <w:pPr>
        <w:pStyle w:val="33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hint="eastAsia" w:ascii="Cambria Math" w:hAnsi="Cambria Math"/>
          <w:iCs/>
        </w:rPr>
        <w:t>绘出轴系2的装配结构草图(轴、轴承、齿轮、套筒、轴肩、键)</w:t>
      </w:r>
    </w:p>
    <w:p w14:paraId="1B96A8FD">
      <w:pPr>
        <w:rPr>
          <w:rFonts w:ascii="Cambria Math" w:hAnsi="Cambria Math"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E4FD5"/>
    <w:multiLevelType w:val="multilevel"/>
    <w:tmpl w:val="103E4FD5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38"/>
    <w:rsid w:val="000207F9"/>
    <w:rsid w:val="00024130"/>
    <w:rsid w:val="00035355"/>
    <w:rsid w:val="0004339D"/>
    <w:rsid w:val="0005635F"/>
    <w:rsid w:val="00056A1E"/>
    <w:rsid w:val="00060AB0"/>
    <w:rsid w:val="00071FE0"/>
    <w:rsid w:val="00080D64"/>
    <w:rsid w:val="00092901"/>
    <w:rsid w:val="000A50D7"/>
    <w:rsid w:val="000B2AF8"/>
    <w:rsid w:val="000B7328"/>
    <w:rsid w:val="000C014B"/>
    <w:rsid w:val="000C7C32"/>
    <w:rsid w:val="000D1B5A"/>
    <w:rsid w:val="000F42E1"/>
    <w:rsid w:val="00117EF8"/>
    <w:rsid w:val="00124293"/>
    <w:rsid w:val="00151213"/>
    <w:rsid w:val="0018163C"/>
    <w:rsid w:val="00185BC6"/>
    <w:rsid w:val="00194417"/>
    <w:rsid w:val="001F2529"/>
    <w:rsid w:val="001F41B1"/>
    <w:rsid w:val="00210ED5"/>
    <w:rsid w:val="00222E37"/>
    <w:rsid w:val="00240145"/>
    <w:rsid w:val="00243180"/>
    <w:rsid w:val="00243389"/>
    <w:rsid w:val="00251346"/>
    <w:rsid w:val="00255918"/>
    <w:rsid w:val="002621A6"/>
    <w:rsid w:val="00267EEC"/>
    <w:rsid w:val="00282DA2"/>
    <w:rsid w:val="002B3DA0"/>
    <w:rsid w:val="002D4433"/>
    <w:rsid w:val="002D7780"/>
    <w:rsid w:val="002D7B91"/>
    <w:rsid w:val="002E424C"/>
    <w:rsid w:val="00335CD5"/>
    <w:rsid w:val="00337C0E"/>
    <w:rsid w:val="00350AAD"/>
    <w:rsid w:val="00356884"/>
    <w:rsid w:val="00373E89"/>
    <w:rsid w:val="00382AB5"/>
    <w:rsid w:val="00397750"/>
    <w:rsid w:val="003A62F8"/>
    <w:rsid w:val="003B59DC"/>
    <w:rsid w:val="003D2838"/>
    <w:rsid w:val="003D6CEC"/>
    <w:rsid w:val="003D7C91"/>
    <w:rsid w:val="00415513"/>
    <w:rsid w:val="004246EF"/>
    <w:rsid w:val="00424E97"/>
    <w:rsid w:val="00433B68"/>
    <w:rsid w:val="0046711F"/>
    <w:rsid w:val="00477A2A"/>
    <w:rsid w:val="00481749"/>
    <w:rsid w:val="00483576"/>
    <w:rsid w:val="004B0BC2"/>
    <w:rsid w:val="004F4967"/>
    <w:rsid w:val="00514AD3"/>
    <w:rsid w:val="00523625"/>
    <w:rsid w:val="00535B2E"/>
    <w:rsid w:val="005627B8"/>
    <w:rsid w:val="00584629"/>
    <w:rsid w:val="00595210"/>
    <w:rsid w:val="005C1331"/>
    <w:rsid w:val="005C5517"/>
    <w:rsid w:val="005D29C4"/>
    <w:rsid w:val="005F6C1F"/>
    <w:rsid w:val="00613FCC"/>
    <w:rsid w:val="0061782D"/>
    <w:rsid w:val="0063624E"/>
    <w:rsid w:val="00665E68"/>
    <w:rsid w:val="0068481C"/>
    <w:rsid w:val="006918DF"/>
    <w:rsid w:val="006A2E84"/>
    <w:rsid w:val="006B20F1"/>
    <w:rsid w:val="006C16CB"/>
    <w:rsid w:val="006D20A9"/>
    <w:rsid w:val="006D4FC1"/>
    <w:rsid w:val="007011D2"/>
    <w:rsid w:val="007021D3"/>
    <w:rsid w:val="00707E80"/>
    <w:rsid w:val="00720D0C"/>
    <w:rsid w:val="00730E4C"/>
    <w:rsid w:val="007423EC"/>
    <w:rsid w:val="00744F5D"/>
    <w:rsid w:val="00780DFB"/>
    <w:rsid w:val="0078421D"/>
    <w:rsid w:val="007900A9"/>
    <w:rsid w:val="00791E03"/>
    <w:rsid w:val="00794B51"/>
    <w:rsid w:val="007A32BB"/>
    <w:rsid w:val="007B0F6F"/>
    <w:rsid w:val="007B573F"/>
    <w:rsid w:val="00801D00"/>
    <w:rsid w:val="0081531B"/>
    <w:rsid w:val="00823D98"/>
    <w:rsid w:val="00870376"/>
    <w:rsid w:val="0087235F"/>
    <w:rsid w:val="008760DC"/>
    <w:rsid w:val="00880B42"/>
    <w:rsid w:val="008B0720"/>
    <w:rsid w:val="008B6327"/>
    <w:rsid w:val="008C0E27"/>
    <w:rsid w:val="008C0E33"/>
    <w:rsid w:val="008D523F"/>
    <w:rsid w:val="008E370C"/>
    <w:rsid w:val="0092574B"/>
    <w:rsid w:val="009262E3"/>
    <w:rsid w:val="00930F1D"/>
    <w:rsid w:val="00960708"/>
    <w:rsid w:val="009926CF"/>
    <w:rsid w:val="009A0CC6"/>
    <w:rsid w:val="009B01B5"/>
    <w:rsid w:val="009B57A8"/>
    <w:rsid w:val="009B697F"/>
    <w:rsid w:val="009C1CE3"/>
    <w:rsid w:val="009D1B27"/>
    <w:rsid w:val="009E1ABC"/>
    <w:rsid w:val="009F6100"/>
    <w:rsid w:val="00A357F8"/>
    <w:rsid w:val="00A51347"/>
    <w:rsid w:val="00A61EC4"/>
    <w:rsid w:val="00A71EBA"/>
    <w:rsid w:val="00A7414E"/>
    <w:rsid w:val="00A8500D"/>
    <w:rsid w:val="00A915CA"/>
    <w:rsid w:val="00A944B0"/>
    <w:rsid w:val="00AD1B07"/>
    <w:rsid w:val="00B022BD"/>
    <w:rsid w:val="00B03198"/>
    <w:rsid w:val="00B267BE"/>
    <w:rsid w:val="00B3771C"/>
    <w:rsid w:val="00B41A6A"/>
    <w:rsid w:val="00B425D6"/>
    <w:rsid w:val="00B44255"/>
    <w:rsid w:val="00B53EF6"/>
    <w:rsid w:val="00B62BAE"/>
    <w:rsid w:val="00B642B7"/>
    <w:rsid w:val="00B76D13"/>
    <w:rsid w:val="00BA13C2"/>
    <w:rsid w:val="00BA3495"/>
    <w:rsid w:val="00BA6780"/>
    <w:rsid w:val="00BB5C9B"/>
    <w:rsid w:val="00BC1F6C"/>
    <w:rsid w:val="00BE55A5"/>
    <w:rsid w:val="00BE5D29"/>
    <w:rsid w:val="00C15A8D"/>
    <w:rsid w:val="00C20899"/>
    <w:rsid w:val="00C22917"/>
    <w:rsid w:val="00C22A85"/>
    <w:rsid w:val="00C25443"/>
    <w:rsid w:val="00C25E2C"/>
    <w:rsid w:val="00C30A9C"/>
    <w:rsid w:val="00C54D32"/>
    <w:rsid w:val="00C81FD0"/>
    <w:rsid w:val="00C941F5"/>
    <w:rsid w:val="00CC071C"/>
    <w:rsid w:val="00CC3DA5"/>
    <w:rsid w:val="00D06B60"/>
    <w:rsid w:val="00D61B28"/>
    <w:rsid w:val="00DA0004"/>
    <w:rsid w:val="00DD1AC7"/>
    <w:rsid w:val="00DE6660"/>
    <w:rsid w:val="00E00A5E"/>
    <w:rsid w:val="00E41848"/>
    <w:rsid w:val="00E55045"/>
    <w:rsid w:val="00E65577"/>
    <w:rsid w:val="00E65912"/>
    <w:rsid w:val="00E84A4B"/>
    <w:rsid w:val="00EA7F9C"/>
    <w:rsid w:val="00EB045E"/>
    <w:rsid w:val="00ED4803"/>
    <w:rsid w:val="00EF678D"/>
    <w:rsid w:val="00F00E06"/>
    <w:rsid w:val="00F045B7"/>
    <w:rsid w:val="00F07D3A"/>
    <w:rsid w:val="00F65376"/>
    <w:rsid w:val="00F8006C"/>
    <w:rsid w:val="00FA78D1"/>
    <w:rsid w:val="00FB0AA2"/>
    <w:rsid w:val="00FC3882"/>
    <w:rsid w:val="00FC3D48"/>
    <w:rsid w:val="00FC4A10"/>
    <w:rsid w:val="027E22C9"/>
    <w:rsid w:val="0C4B3E8B"/>
    <w:rsid w:val="0CDF2EB6"/>
    <w:rsid w:val="265276F9"/>
    <w:rsid w:val="2EE96042"/>
    <w:rsid w:val="3F663C45"/>
    <w:rsid w:val="40961F3D"/>
    <w:rsid w:val="4CAB7993"/>
    <w:rsid w:val="558B4387"/>
    <w:rsid w:val="5BE7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2"/>
      <w:szCs w:val="22"/>
      <w:lang w:val="de-DE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0E2841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3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annotation subject"/>
    <w:basedOn w:val="12"/>
    <w:next w:val="12"/>
    <w:link w:val="40"/>
    <w:semiHidden/>
    <w:unhideWhenUsed/>
    <w:qFormat/>
    <w:uiPriority w:val="99"/>
    <w:rPr>
      <w:b/>
      <w:bCs/>
    </w:r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16"/>
      <w:szCs w:val="16"/>
    </w:rPr>
  </w:style>
  <w:style w:type="character" w:customStyle="1" w:styleId="20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标题 4 字符"/>
    <w:basedOn w:val="17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标题 5 字符"/>
    <w:basedOn w:val="17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7 字符"/>
    <w:basedOn w:val="17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7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8">
    <w:name w:val="Placeholder Text"/>
    <w:basedOn w:val="17"/>
    <w:semiHidden/>
    <w:qFormat/>
    <w:uiPriority w:val="99"/>
    <w:rPr>
      <w:color w:val="666666"/>
    </w:rPr>
  </w:style>
  <w:style w:type="character" w:customStyle="1" w:styleId="39">
    <w:name w:val="批注文字 字符"/>
    <w:basedOn w:val="17"/>
    <w:link w:val="12"/>
    <w:semiHidden/>
    <w:qFormat/>
    <w:uiPriority w:val="99"/>
    <w:rPr>
      <w:kern w:val="2"/>
      <w14:ligatures w14:val="standardContextual"/>
    </w:rPr>
  </w:style>
  <w:style w:type="character" w:customStyle="1" w:styleId="40">
    <w:name w:val="批注主题 字符"/>
    <w:basedOn w:val="39"/>
    <w:link w:val="15"/>
    <w:semiHidden/>
    <w:uiPriority w:val="99"/>
    <w:rPr>
      <w:b/>
      <w:bCs/>
      <w:kern w:val="2"/>
      <w14:ligatures w14:val="standardContextual"/>
    </w:rPr>
  </w:style>
  <w:style w:type="character" w:customStyle="1" w:styleId="41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797</Words>
  <Characters>1105</Characters>
  <Lines>17</Lines>
  <Paragraphs>4</Paragraphs>
  <TotalTime>6</TotalTime>
  <ScaleCrop>false</ScaleCrop>
  <LinksUpToDate>false</LinksUpToDate>
  <CharactersWithSpaces>1156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2024-12-14T07:36:00Z</dcterms:created>
  <dc:creator>tianjian fang</dc:creator>
  <cp:lastModifiedBy>贱箭涧</cp:lastModifiedBy>
  <dcterms:modified xsi:type="dcterms:W3CDTF">2024-12-15T02:22:22Z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114BB8753A8042F9BA0B36F9D8E59381_12</vt:lpwstr>
  </property>
</Properties>
</file>