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900"/>
        <w:jc w:val="center"/>
      </w:pPr>
      <w:r>
        <w:rPr>
          <w:rFonts w:ascii="Noto Sans CJK SC" w:cs="Noto Sans CJK SC" w:eastAsia="Noto Sans CJK SC" w:hAnsi="Noto Sans CJK SC"/>
          <w:b/>
          <w:bCs/>
          <w:color w:val="173247"/>
          <w:sz w:val="42"/>
          <w:szCs w:val="42"/>
        </w:rPr>
        <w:t xml:space="preserve">AR5手机主板装配</w:t>
      </w:r>
    </w:p>
    <w:p>
      <w:pPr>
        <w:spacing w:after="260"/>
        <w:jc w:val="center"/>
      </w:pPr>
      <w:r>
        <w:rPr>
          <w:rFonts w:ascii="Noto Sans CJK SC" w:cs="Noto Sans CJK SC" w:eastAsia="Noto Sans CJK SC" w:hAnsi="Noto Sans CJK SC"/>
          <w:b/>
          <w:bCs/>
          <w:color w:val="1976D2"/>
          <w:sz w:val="52"/>
          <w:szCs w:val="52"/>
        </w:rPr>
        <w:t xml:space="preserve">阶段感知六维导纳控制算法说明</w:t>
      </w:r>
    </w:p>
    <w:p>
      <w:pPr>
        <w:spacing w:after="520"/>
        <w:jc w:val="center"/>
      </w:pPr>
      <w:r>
        <w:rPr>
          <w:rFonts w:ascii="Noto Sans CJK SC" w:cs="Noto Sans CJK SC" w:eastAsia="Noto Sans CJK SC" w:hAnsi="Noto Sans CJK SC"/>
          <w:color w:val="526675"/>
          <w:sz w:val="25"/>
          <w:szCs w:val="25"/>
        </w:rPr>
        <w:t xml:space="preserve">数学模型 · 工程控制流程 · 安全机制 · 技术改进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EAF3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173247"/>
                <w:sz w:val="24"/>
                <w:szCs w:val="24"/>
              </w:rPr>
              <w:t xml:space="preserve">核心结论</w:t>
            </w:r>
          </w:p>
          <w:p>
            <w:pPr>
              <w:spacing w:after="0" w:line="340"/>
            </w:pPr>
            <w:r>
              <w:rPr>
                <w:rFonts w:ascii="Noto Sans CJK SC" w:cs="Noto Sans CJK SC" w:eastAsia="Noto Sans CJK SC" w:hAnsi="Noto Sans CJK SC"/>
                <w:color w:val="344B5A"/>
                <w:sz w:val="21"/>
                <w:szCs w:val="21"/>
              </w:rPr>
              <w:t xml:space="preserve">当前控制器是一套位置型六维笛卡尔外环导纳系统：以成功示教轨迹为移动中心，只将超出阶段正常力包络的异常六维扳手转换为有限位姿修正；严重接触时暂停名义轨迹，但保持导纳卸力与回中。</w:t>
            </w:r>
          </w:p>
        </w:tc>
      </w:tr>
    </w:tbl>
    <w:p>
      <w:pPr>
        <w:spacing w:after="400" w:line="360"/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color w:val="526675"/>
          <w:sz w:val="23"/>
          <w:szCs w:val="23"/>
        </w:rPr>
        <w:t xml:space="preserve">控制平台：AR5机器人、ROS 2、xCoreSDK实时笛卡尔位置接口、M3815六维力传感器。控制循环周期为1 ms，力传感器记录频率约500 Hz。</w:t>
      </w:r>
    </w:p>
    <w:p>
      <w:pPr>
        <w:spacing w:after="140" w:line="360"/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color w:val="526675"/>
          <w:sz w:val="23"/>
          <w:szCs w:val="23"/>
        </w:rPr>
        <w:t xml:space="preserve">2026年9月</w:t>
      </w:r>
    </w:p>
    <w:p>
      <w:r>
        <w:br w:type="page"/>
      </w:r>
    </w:p>
    <w:p>
      <w:pPr>
        <w:pStyle w:val="Heading1"/>
      </w:pPr>
      <w:r>
        <w:t xml:space="preserve">一、当前使用的六维导纳模型</w:t>
      </w:r>
    </w:p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当前采用位置型外环导纳控制。机器人底层控制器继续执行笛卡尔位置跟踪，上层导纳控制器根据异常接触力计算附加的六维位姿偏移。该方法适用于底层不开放关节力矩控制、但能够高频接收笛卡尔位置指令的工业机器人。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2F7FA" w:val="clear"/>
            <w:tcMar>
              <w:top w:type="dxa" w:w="180"/>
              <w:left w:type="dxa" w:w="220"/>
              <w:bottom w:type="dxa" w:w="18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73247"/>
                <w:sz w:val="30"/>
                <w:szCs w:val="30"/>
              </w:rPr>
              <w:t xml:space="preserve">M ẍ + D ẋ + K x = S W_excess</w:t>
            </w:r>
          </w:p>
        </w:tc>
      </w:tr>
    </w:tbl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状态向量为 x = [Δx, Δy, Δz, Δrx, Δry, Δrz]ᵀ，前三项表示平移修正，后三项表示旋转向量修正。输入W_excess不是传感器测得的全部力，而是超出正常装配力包络的异常部分。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4100"/>
      </w:tblGrid>
      <w:tr>
        <w:tc>
          <w:tcPr>
            <w:tcW w:type="dxa" w:w="1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DCEAF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173247"/>
                <w:sz w:val="21"/>
                <w:szCs w:val="21"/>
              </w:rPr>
              <w:t xml:space="preserve">参数</w:t>
            </w:r>
          </w:p>
        </w:tc>
        <w:tc>
          <w:tcPr>
            <w:tcW w:type="dxa" w:w="3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DCEAF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173247"/>
                <w:sz w:val="21"/>
                <w:szCs w:val="21"/>
              </w:rPr>
              <w:t xml:space="preserve">当前对角参数</w:t>
            </w:r>
          </w:p>
        </w:tc>
        <w:tc>
          <w:tcPr>
            <w:tcW w:type="dxa" w:w="41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DCEAF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173247"/>
                <w:sz w:val="21"/>
                <w:szCs w:val="21"/>
              </w:rPr>
              <w:t xml:space="preserve">物理作用</w:t>
            </w:r>
          </w:p>
        </w:tc>
      </w:tr>
      <w:tr>
        <w:tc>
          <w:tcPr>
            <w:tcW w:type="dxa" w:w="1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虚拟质量 M</w:t>
            </w:r>
          </w:p>
        </w:tc>
        <w:tc>
          <w:tcPr>
            <w:tcW w:type="dxa" w:w="3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[5, 5, 5, 0.05, 0.05, 0.05]</w:t>
            </w:r>
          </w:p>
        </w:tc>
        <w:tc>
          <w:tcPr>
            <w:tcW w:type="dxa" w:w="41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限制响应加速度，决定外力变化后的瞬态响应速度</w:t>
            </w:r>
          </w:p>
        </w:tc>
      </w:tr>
      <w:tr>
        <w:tc>
          <w:tcPr>
            <w:tcW w:type="dxa" w:w="1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虚拟阻尼 D</w:t>
            </w:r>
          </w:p>
        </w:tc>
        <w:tc>
          <w:tcPr>
            <w:tcW w:type="dxa" w:w="3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[150, 150, 140, 2, 2, 1.5]</w:t>
            </w:r>
          </w:p>
        </w:tc>
        <w:tc>
          <w:tcPr>
            <w:tcW w:type="dxa" w:w="41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耗散振荡能量，控制卸力和回中过程的平稳性</w:t>
            </w:r>
          </w:p>
        </w:tc>
      </w:tr>
      <w:tr>
        <w:tc>
          <w:tcPr>
            <w:tcW w:type="dxa" w:w="1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虚拟刚度 K</w:t>
            </w:r>
          </w:p>
        </w:tc>
        <w:tc>
          <w:tcPr>
            <w:tcW w:type="dxa" w:w="3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[800, 5000, 3000, 15, 15, 10]</w:t>
            </w:r>
          </w:p>
        </w:tc>
        <w:tc>
          <w:tcPr>
            <w:tcW w:type="dxa" w:w="41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定义稳态柔顺量，并将偏移持续拉回示教中心</w:t>
            </w:r>
          </w:p>
        </w:tc>
      </w:tr>
    </w:tbl>
    <w:p>
      <w:pPr>
        <w:pStyle w:val="Heading2"/>
      </w:pPr>
      <w:r>
        <w:t xml:space="preserve">1.1 模型的基本物理逻辑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Noto Sans CJK SC" w:cs="Noto Sans CJK SC" w:eastAsia="Noto Sans CJK SC" w:hAnsi="Noto Sans CJK SC"/>
          <w:color w:val="263746"/>
          <w:sz w:val="22"/>
          <w:szCs w:val="22"/>
        </w:rPr>
        <w:t xml:space="preserve">异常接触力推动虚拟质量产生位姿偏移，机器人因此沿卸力方向移动。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Noto Sans CJK SC" w:cs="Noto Sans CJK SC" w:eastAsia="Noto Sans CJK SC" w:hAnsi="Noto Sans CJK SC"/>
          <w:color w:val="263746"/>
          <w:sz w:val="22"/>
          <w:szCs w:val="22"/>
        </w:rPr>
        <w:t xml:space="preserve">虚拟阻尼抑制来回振荡，避免末端在接触面附近反复摆动。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Noto Sans CJK SC" w:cs="Noto Sans CJK SC" w:eastAsia="Noto Sans CJK SC" w:hAnsi="Noto Sans CJK SC"/>
          <w:color w:val="263746"/>
          <w:sz w:val="22"/>
          <w:szCs w:val="22"/>
        </w:rPr>
        <w:t xml:space="preserve">虚拟弹簧始终连接到成功示教轨迹；异常力消失后，修正量自动衰减并回到零。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Noto Sans CJK SC" w:cs="Noto Sans CJK SC" w:eastAsia="Noto Sans CJK SC" w:hAnsi="Noto Sans CJK SC"/>
          <w:color w:val="263746"/>
          <w:sz w:val="22"/>
          <w:szCs w:val="22"/>
        </w:rPr>
        <w:t xml:space="preserve">所有方向共用同一套六维求解器，通过参数、符号和限幅进行工程约束。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EAF6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173247"/>
                <w:sz w:val="24"/>
                <w:szCs w:val="24"/>
              </w:rPr>
              <w:t xml:space="preserve">一句话理解</w:t>
            </w:r>
          </w:p>
          <w:p>
            <w:pPr>
              <w:spacing w:after="0" w:line="340"/>
            </w:pPr>
            <w:r>
              <w:rPr>
                <w:rFonts w:ascii="Noto Sans CJK SC" w:cs="Noto Sans CJK SC" w:eastAsia="Noto Sans CJK SC" w:hAnsi="Noto Sans CJK SC"/>
                <w:color w:val="344B5A"/>
                <w:sz w:val="21"/>
                <w:szCs w:val="21"/>
              </w:rPr>
              <w:t xml:space="preserve">导纳控制不是让机器人随外力自由漂移，而是让机器人围绕成功示教轨迹，在受限范围内进行可恢复的柔顺偏移。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二、正常装配力与异常接触力的区分</w:t>
      </w:r>
    </w:p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主板装配在压平和最终就位阶段本来就会产生较大的正常接触力。如果直接把全部六维力输入导纳控制器，正常压合力也会推动机器人偏离轨迹。因此当前算法先根据工艺阶段剥离正常载荷，再对剩余异常部分进行响应。</w:t>
      </w:r>
    </w:p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算法利用三次成功装配数据，在归一化轨迹进度s上建立每个力/力矩分量的中心cᵢ(s)和半宽hᵢ(s)。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2F7FA" w:val="clear"/>
            <w:tcMar>
              <w:top w:type="dxa" w:w="180"/>
              <w:left w:type="dxa" w:w="220"/>
              <w:bottom w:type="dxa" w:w="18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73247"/>
                <w:sz w:val="30"/>
                <w:szCs w:val="30"/>
              </w:rPr>
              <w:t xml:space="preserve">lᵢ(s) = min(cᵢ(s) − hᵢ(s), 0)    uᵢ(s) = max(cᵢ(s) + hᵢ(s), 0)</w:t>
            </w:r>
          </w:p>
        </w:tc>
      </w:tr>
    </w:tbl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2F7FA" w:val="clear"/>
            <w:tcMar>
              <w:top w:type="dxa" w:w="180"/>
              <w:left w:type="dxa" w:w="220"/>
              <w:bottom w:type="dxa" w:w="18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73247"/>
                <w:sz w:val="30"/>
                <w:szCs w:val="30"/>
              </w:rPr>
              <w:t xml:space="preserve">eᵢ = wᵢ − lᵢ  (wᵢ &lt; lᵢ)；0  (lᵢ ≤ wᵢ ≤ uᵢ)；wᵢ − uᵢ  (wᵢ &gt; uᵢ)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Noto Sans CJK SC" w:cs="Noto Sans CJK SC" w:eastAsia="Noto Sans CJK SC" w:hAnsi="Noto Sans CJK SC"/>
          <w:color w:val="263746"/>
          <w:sz w:val="22"/>
          <w:szCs w:val="22"/>
        </w:rPr>
        <w:t xml:space="preserve">包络内的力属于正常工艺载荷，不驱动导纳修正。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Noto Sans CJK SC" w:cs="Noto Sans CJK SC" w:eastAsia="Noto Sans CJK SC" w:hAnsi="Noto Sans CJK SC"/>
          <w:color w:val="263746"/>
          <w:sz w:val="22"/>
          <w:szCs w:val="22"/>
        </w:rPr>
        <w:t xml:space="preserve">包络外的残差组成W_excess，代表需要处理的异常接触。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Noto Sans CJK SC" w:cs="Noto Sans CJK SC" w:eastAsia="Noto Sans CJK SC" w:hAnsi="Noto Sans CJK SC"/>
          <w:color w:val="263746"/>
          <w:sz w:val="22"/>
          <w:szCs w:val="22"/>
        </w:rPr>
        <w:t xml:space="preserve">包络向零扩展，保证尚未接触时的零力不会被误判为反向异常力。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300"/>
      </w:tblGrid>
      <w:tr>
        <w:tc>
          <w:tcPr>
            <w:tcW w:type="dxa" w:w="24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DCEAF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173247"/>
                <w:sz w:val="21"/>
                <w:szCs w:val="21"/>
              </w:rPr>
              <w:t xml:space="preserve">信号处理</w:t>
            </w:r>
          </w:p>
        </w:tc>
        <w:tc>
          <w:tcPr>
            <w:tcW w:type="dxa" w:w="22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DCEAF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173247"/>
                <w:sz w:val="21"/>
                <w:szCs w:val="21"/>
              </w:rPr>
              <w:t xml:space="preserve">当前设置</w:t>
            </w:r>
          </w:p>
        </w:tc>
        <w:tc>
          <w:tcPr>
            <w:tcW w:type="dxa" w:w="53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DCEAF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173247"/>
                <w:sz w:val="21"/>
                <w:szCs w:val="21"/>
              </w:rPr>
              <w:t xml:space="preserve">目的</w:t>
            </w:r>
          </w:p>
        </w:tc>
      </w:tr>
      <w:tr>
        <w:tc>
          <w:tcPr>
            <w:tcW w:type="dxa" w:w="24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低通滤波</w:t>
            </w:r>
          </w:p>
        </w:tc>
        <w:tc>
          <w:tcPr>
            <w:tcW w:type="dxa" w:w="22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10 Hz</w:t>
            </w:r>
          </w:p>
        </w:tc>
        <w:tc>
          <w:tcPr>
            <w:tcW w:type="dxa" w:w="53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抑制传感器高频噪声</w:t>
            </w:r>
          </w:p>
        </w:tc>
      </w:tr>
      <w:tr>
        <w:tc>
          <w:tcPr>
            <w:tcW w:type="dxa" w:w="24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力死区</w:t>
            </w:r>
          </w:p>
        </w:tc>
        <w:tc>
          <w:tcPr>
            <w:tcW w:type="dxa" w:w="22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0.5 N</w:t>
            </w:r>
          </w:p>
        </w:tc>
        <w:tc>
          <w:tcPr>
            <w:tcW w:type="dxa" w:w="53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忽略小幅随机波动</w:t>
            </w:r>
          </w:p>
        </w:tc>
      </w:tr>
      <w:tr>
        <w:tc>
          <w:tcPr>
            <w:tcW w:type="dxa" w:w="24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力矩死区</w:t>
            </w:r>
          </w:p>
        </w:tc>
        <w:tc>
          <w:tcPr>
            <w:tcW w:type="dxa" w:w="22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0.03 N·m</w:t>
            </w:r>
          </w:p>
        </w:tc>
        <w:tc>
          <w:tcPr>
            <w:tcW w:type="dxa" w:w="53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忽略小幅力矩噪声</w:t>
            </w:r>
          </w:p>
        </w:tc>
      </w:tr>
      <w:tr>
        <w:tc>
          <w:tcPr>
            <w:tcW w:type="dxa" w:w="24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异常持续判定</w:t>
            </w:r>
          </w:p>
        </w:tc>
        <w:tc>
          <w:tcPr>
            <w:tcW w:type="dxa" w:w="22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0.10 s</w:t>
            </w:r>
          </w:p>
        </w:tc>
        <w:tc>
          <w:tcPr>
            <w:tcW w:type="dxa" w:w="53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避免单点尖峰立即改变控制状态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三、1 kHz离散求解与位姿输出</w:t>
      </w:r>
    </w:p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控制循环周期Δt为1 ms。每个周期执行固定顺序的向量运算，避免在实时回调中进行复杂规划或阻塞操作。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Noto Sans CJK SC" w:cs="Noto Sans CJK SC" w:eastAsia="Noto Sans CJK SC" w:hAnsi="Noto Sans CJK SC"/>
          <w:color w:val="263746"/>
          <w:sz w:val="22"/>
          <w:szCs w:val="22"/>
        </w:rPr>
        <w:t xml:space="preserve">读取最新六维力和机器人状态，检查数据新鲜度与有限性。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Noto Sans CJK SC" w:cs="Noto Sans CJK SC" w:eastAsia="Noto Sans CJK SC" w:hAnsi="Noto Sans CJK SC"/>
          <w:color w:val="263746"/>
          <w:sz w:val="22"/>
          <w:szCs w:val="22"/>
        </w:rPr>
        <w:t xml:space="preserve">将传感器坐标下的力和力矩变换到当前工件/Base参考方向。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Noto Sans CJK SC" w:cs="Noto Sans CJK SC" w:eastAsia="Noto Sans CJK SC" w:hAnsi="Noto Sans CJK SC"/>
          <w:color w:val="263746"/>
          <w:sz w:val="22"/>
          <w:szCs w:val="22"/>
        </w:rPr>
        <w:t xml:space="preserve">插值当前阶段正常力包络，计算W_excess。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Noto Sans CJK SC" w:cs="Noto Sans CJK SC" w:eastAsia="Noto Sans CJK SC" w:hAnsi="Noto Sans CJK SC"/>
          <w:color w:val="263746"/>
          <w:sz w:val="22"/>
          <w:szCs w:val="22"/>
        </w:rPr>
        <w:t xml:space="preserve">执行10 Hz低通、死区和异常持续判定。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Noto Sans CJK SC" w:cs="Noto Sans CJK SC" w:eastAsia="Noto Sans CJK SC" w:hAnsi="Noto Sans CJK SC"/>
          <w:color w:val="263746"/>
          <w:sz w:val="22"/>
          <w:szCs w:val="22"/>
        </w:rPr>
        <w:t xml:space="preserve">根据M、D、K计算加速度，并依次进行加速度、速度和位姿积分。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Noto Sans CJK SC" w:cs="Noto Sans CJK SC" w:eastAsia="Noto Sans CJK SC" w:hAnsi="Noto Sans CJK SC"/>
          <w:color w:val="263746"/>
          <w:sz w:val="22"/>
          <w:szCs w:val="22"/>
        </w:rPr>
        <w:t xml:space="preserve">应用非对称位姿限幅，防止修正继续推向危险方向。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2F7FA" w:val="clear"/>
            <w:tcMar>
              <w:top w:type="dxa" w:w="180"/>
              <w:left w:type="dxa" w:w="220"/>
              <w:bottom w:type="dxa" w:w="18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73247"/>
                <w:sz w:val="30"/>
                <w:szCs w:val="30"/>
              </w:rPr>
              <w:t xml:space="preserve">aₖ = sat[M⁻¹(Wₖ − Dvₖ − Kxₖ)]</w:t>
            </w:r>
          </w:p>
        </w:tc>
      </w:tr>
    </w:tbl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2F7FA" w:val="clear"/>
            <w:tcMar>
              <w:top w:type="dxa" w:w="180"/>
              <w:left w:type="dxa" w:w="220"/>
              <w:bottom w:type="dxa" w:w="18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73247"/>
                <w:sz w:val="30"/>
                <w:szCs w:val="30"/>
              </w:rPr>
              <w:t xml:space="preserve">vₖ₊₁ = sat(vₖ + aₖΔt)    xₖ₊₁ = sat(xₖ + vₖ₊₁Δt)</w:t>
            </w:r>
          </w:p>
        </w:tc>
      </w:tr>
    </w:tbl>
    <w:p>
      <w:pPr>
        <w:pStyle w:val="Heading2"/>
      </w:pPr>
      <w:r>
        <w:t xml:space="preserve">3.1 最终位姿合成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2F7FA" w:val="clear"/>
            <w:tcMar>
              <w:top w:type="dxa" w:w="180"/>
              <w:left w:type="dxa" w:w="220"/>
              <w:bottom w:type="dxa" w:w="18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73247"/>
                <w:sz w:val="30"/>
                <w:szCs w:val="30"/>
              </w:rPr>
              <w:t xml:space="preserve">p_cmd = p_nominal + Δp</w:t>
            </w:r>
          </w:p>
        </w:tc>
      </w:tr>
    </w:tbl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2F7FA" w:val="clear"/>
            <w:tcMar>
              <w:top w:type="dxa" w:w="180"/>
              <w:left w:type="dxa" w:w="220"/>
              <w:bottom w:type="dxa" w:w="18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73247"/>
                <w:sz w:val="30"/>
                <w:szCs w:val="30"/>
              </w:rPr>
              <w:t xml:space="preserve">R_cmd = Exp([Δr]×) R_nominal</w:t>
            </w:r>
          </w:p>
        </w:tc>
      </w:tr>
    </w:tbl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姿态修正使用旋转向量指数映射左乘名义姿态，而不是直接相加欧拉角。这样能够保持旋转组合的几何含义，减少欧拉角顺序和奇异性带来的问题。当前g_wobj_0与Base重合，因此六维修正方向实际等同机器人基座轴。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900" w:right="1000" w:bottom="900" w:left="1000" w:header="420" w:footer="420" w:gutter="0"/>
          <w:pgNumType/>
          <w:docGrid w:linePitch="360"/>
        </w:sectPr>
      </w:pPr>
    </w:p>
    <w:p>
      <w:pPr>
        <w:pStyle w:val="Heading1"/>
      </w:pPr>
      <w:r>
        <w:t xml:space="preserve">四、当前算法完整流程</w:t>
      </w:r>
    </w:p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下图给出从启动检查、六维力处理、导纳求解、轨迹调节到安全退出的完整闭环。严重接触时暂停的是名义轨迹时间，导纳控制仍继续运行，以寻找卸力方向并回到示教中心。</w:t>
      </w:r>
    </w:p>
    <w:p>
      <w:pPr>
        <w:spacing w:after="80" w:before="80"/>
        <w:jc w:val="center"/>
      </w:pPr>
      <w:r>
        <w:drawing>
          <wp:inline distT="0" distB="0" distL="0" distR="0">
            <wp:extent cx="13700000" cy="7285971"/>
            <wp:effectExtent t="0" r="0" b="0" l="0"/>
            <wp:docPr id="1" name="admittance-flowchart-landscape" descr="从启动检查、异常力提取、六维导纳求解、轨迹调节到安全退出的完整横版流程图" title="AR5阶段感知六维导纳控制横版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00000" cy="728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7"/>
          <w:footerReference w:type="default" r:id="rId8"/>
          <w:type w:val="nextPage"/>
          <w:pgSz w:w="23811" w:h="16838" w:orient="landscape"/>
          <w:pgMar w:top="720" w:right="720" w:bottom="720" w:left="720" w:header="360" w:footer="360" w:gutter="0"/>
          <w:pgNumType/>
          <w:docGrid w:linePitch="360"/>
        </w:sectPr>
      </w:pPr>
    </w:p>
    <w:p>
      <w:pPr>
        <w:pStyle w:val="Heading1"/>
      </w:pPr>
      <w:r>
        <w:t xml:space="preserve">五、轨迹调节器与安全保护</w:t>
      </w:r>
    </w:p>
    <w:p>
      <w:pPr>
        <w:pStyle w:val="Heading2"/>
      </w:pPr>
      <w:r>
        <w:t xml:space="preserve">5.1 异常接触轨迹调节</w:t>
      </w:r>
    </w:p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小幅异常力只通过导纳修正，不停止名义轨迹。当任一开放平移轴异常力大于2 N，或异常力矩大于0.10 N·m，并持续0.10 s时，轨迹速率以4 s⁻¹的斜率降至零。此时导纳仍继续计算和输出，使机械臂能够卸力。</w:t>
      </w:r>
    </w:p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只有所有异常分量降到1 N和0.05 N·m以内、六维修正进入恢复邻域并持续0.20 s，轨迹才恢复到正常速率。单次恢复超过8 s则判定无法自行恢复并退出。</w:t>
      </w:r>
    </w:p>
    <w:p>
      <w:pPr>
        <w:pStyle w:val="Heading2"/>
      </w:pPr>
      <w:r>
        <w:t xml:space="preserve">5.2 多层看门狗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400"/>
      </w:tblGrid>
      <w:tr>
        <w:tc>
          <w:tcPr>
            <w:tcW w:type="dxa" w:w="25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DCEAF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173247"/>
                <w:sz w:val="21"/>
                <w:szCs w:val="21"/>
              </w:rPr>
              <w:t xml:space="preserve">保护层</w:t>
            </w:r>
          </w:p>
        </w:tc>
        <w:tc>
          <w:tcPr>
            <w:tcW w:type="dxa" w:w="74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DCEAF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173247"/>
                <w:sz w:val="21"/>
                <w:szCs w:val="21"/>
              </w:rPr>
              <w:t xml:space="preserve">当前规则</w:t>
            </w:r>
          </w:p>
        </w:tc>
      </w:tr>
      <w:tr>
        <w:tc>
          <w:tcPr>
            <w:tcW w:type="dxa" w:w="25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传感器</w:t>
            </w:r>
          </w:p>
        </w:tc>
        <w:tc>
          <w:tcPr>
            <w:tcW w:type="dxa" w:w="74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数据年龄不超过50 ms；拒绝非有限值和明显异常原始量级</w:t>
            </w:r>
          </w:p>
        </w:tc>
      </w:tr>
      <w:tr>
        <w:tc>
          <w:tcPr>
            <w:tcW w:type="dxa" w:w="25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硬载荷</w:t>
            </w:r>
          </w:p>
        </w:tc>
        <w:tc>
          <w:tcPr>
            <w:tcW w:type="dxa" w:w="74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合力达到35 N或合力矩达到1.50 N·m立即停止</w:t>
            </w:r>
          </w:p>
        </w:tc>
      </w:tr>
      <w:tr>
        <w:tc>
          <w:tcPr>
            <w:tcW w:type="dxa" w:w="25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路径与初态</w:t>
            </w:r>
          </w:p>
        </w:tc>
        <w:tc>
          <w:tcPr>
            <w:tcW w:type="dxa" w:w="74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要求位于P_SAFE附近、关节软限位有效，并检查中心轨迹和最大扰动轨迹</w:t>
            </w:r>
          </w:p>
        </w:tc>
      </w:tr>
      <w:tr>
        <w:tc>
          <w:tcPr>
            <w:tcW w:type="dxa" w:w="25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TCP跟踪</w:t>
            </w:r>
          </w:p>
        </w:tc>
        <w:tc>
          <w:tcPr>
            <w:tcW w:type="dxa" w:w="74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预置阶段0.75 mm/0.25°；运行阶段5 mm/3°</w:t>
            </w:r>
          </w:p>
        </w:tc>
      </w:tr>
      <w:tr>
        <w:tc>
          <w:tcPr>
            <w:tcW w:type="dxa" w:w="25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命令接受</w:t>
            </w:r>
          </w:p>
        </w:tc>
        <w:tc>
          <w:tcPr>
            <w:tcW w:type="dxa" w:w="74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期望位姿与tcpPose_c偏差超限并持续50周期时停止</w:t>
            </w:r>
          </w:p>
        </w:tc>
      </w:tr>
      <w:tr>
        <w:tc>
          <w:tcPr>
            <w:tcW w:type="dxa" w:w="25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修正饱和</w:t>
            </w:r>
          </w:p>
        </w:tc>
        <w:tc>
          <w:tcPr>
            <w:tcW w:type="dxa" w:w="74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某轴到达限位且异常力仍向限位外推动，持续0.80 s时停止</w:t>
            </w:r>
          </w:p>
        </w:tc>
      </w:tr>
      <w:tr>
        <w:tc>
          <w:tcPr>
            <w:tcW w:type="dxa" w:w="25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任务完成</w:t>
            </w:r>
          </w:p>
        </w:tc>
        <w:tc>
          <w:tcPr>
            <w:tcW w:type="dxa" w:w="74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73247"/>
                <w:sz w:val="20"/>
                <w:szCs w:val="20"/>
              </w:rPr>
              <w:t xml:space="preserve">进度达到85%后，Z向力达到24 N并持续0.05 s，判定seat=REACHED</w:t>
            </w:r>
          </w:p>
        </w:tc>
      </w:tr>
    </w:tbl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FFF2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173247"/>
                <w:sz w:val="24"/>
                <w:szCs w:val="24"/>
              </w:rPr>
              <w:t xml:space="preserve">统一退出动作</w:t>
            </w:r>
          </w:p>
          <w:p>
            <w:pPr>
              <w:spacing w:after="0" w:line="340"/>
            </w:pPr>
            <w:r>
              <w:rPr>
                <w:rFonts w:ascii="Noto Sans CJK SC" w:cs="Noto Sans CJK SC" w:eastAsia="Noto Sans CJK SC" w:hAnsi="Noto Sans CJK SC"/>
                <w:color w:val="344B5A"/>
                <w:sz w:val="21"/>
                <w:szCs w:val="21"/>
              </w:rPr>
              <w:t xml:space="preserve">任何不可恢复异常最终执行：停止运动 → 断开实时网络 → 机器人下电 → 切回manual模式。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六、已实现的主要技术改进</w:t>
      </w:r>
    </w:p>
    <w:p>
      <w:pPr>
        <w:pStyle w:val="Heading2"/>
      </w:pPr>
      <w:r>
        <w:t xml:space="preserve">6.1 从全量力输入改为异常残差输入</w:t>
      </w:r>
    </w:p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早期方案会把正常压合力也输入导纳。当前方案通过阶段正常力包络提取W_excess，使控制器只对异常接触做修正。</w:t>
      </w:r>
    </w:p>
    <w:p>
      <w:pPr>
        <w:pStyle w:val="Heading2"/>
      </w:pPr>
      <w:r>
        <w:t xml:space="preserve">6.2 从单轴控制扩展为统一六维控制</w:t>
      </w:r>
    </w:p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X、Y、Z、Rx、Ry、Rz使用同一套导纳状态、滤波、限幅和日志结构。单轴与复合误差测试只修改trajectory_error，不针对某次测试切换控制算法。</w:t>
      </w:r>
    </w:p>
    <w:p>
      <w:pPr>
        <w:pStyle w:val="Heading2"/>
      </w:pPr>
      <w:r>
        <w:t xml:space="preserve">6.3 从直接停机改为可恢复轨迹调节</w:t>
      </w:r>
    </w:p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严重接触先平滑暂停轨迹，导纳继续卸力；异常清除且修正回到中心附近后自动恢复，从“只能停止”扩展为“能够卸力和继续”。</w:t>
      </w:r>
    </w:p>
    <w:p>
      <w:pPr>
        <w:pStyle w:val="Heading2"/>
      </w:pPr>
      <w:r>
        <w:t xml:space="preserve">6.4 增加双阈值和时间滞回</w:t>
      </w:r>
    </w:p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触发与清除采用不同阈值，并分别要求持续0.10 s和0.20 s，降低临界状态下的频繁启停。</w:t>
      </w:r>
    </w:p>
    <w:p>
      <w:pPr>
        <w:pStyle w:val="Heading2"/>
      </w:pPr>
      <w:r>
        <w:t xml:space="preserve">6.5 增加执行链诊断</w:t>
      </w:r>
    </w:p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同时比较期望位姿、控制器接收位姿tcpPose_c和实测位姿tcpPose_m，从而区分算法输出异常、控制器未接受命令和机器人实际跟踪失败。</w:t>
      </w:r>
    </w:p>
    <w:p>
      <w:pPr>
        <w:pStyle w:val="Heading2"/>
      </w:pPr>
      <w:r>
        <w:t xml:space="preserve">6.6 采用非对称限幅</w:t>
      </w:r>
    </w:p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不同方向根据装配风险设置不同边界。例如Z方向负向继续顶入的风险更高，因此负向仅允许0.2 mm，而正向卸力允许1.5 mm。</w:t>
      </w:r>
    </w:p>
    <w:p>
      <w:r>
        <w:br w:type="page"/>
      </w:r>
    </w:p>
    <w:p>
      <w:pPr>
        <w:pStyle w:val="Heading1"/>
      </w:pPr>
      <w:r>
        <w:t xml:space="preserve">七、当前局限与后续工作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Noto Sans CJK SC" w:cs="Noto Sans CJK SC" w:eastAsia="Noto Sans CJK SC" w:hAnsi="Noto Sans CJK SC"/>
          <w:color w:val="263746"/>
          <w:sz w:val="22"/>
          <w:szCs w:val="22"/>
        </w:rPr>
        <w:t xml:space="preserve">Sensor到Tool的旋转和平移外参目前仍为零假设，需要通过专用标定完成真实外参辨识。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Noto Sans CJK SC" w:cs="Noto Sans CJK SC" w:eastAsia="Noto Sans CJK SC" w:hAnsi="Noto Sans CJK SC"/>
          <w:color w:val="263746"/>
          <w:sz w:val="22"/>
          <w:szCs w:val="22"/>
        </w:rPr>
        <w:t xml:space="preserve">当前工件坐标系与Base重合；现有轨迹和力包络均以该方向为基础。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Noto Sans CJK SC" w:cs="Noto Sans CJK SC" w:eastAsia="Noto Sans CJK SC" w:hAnsi="Noto Sans CJK SC"/>
          <w:color w:val="263746"/>
          <w:sz w:val="22"/>
          <w:szCs w:val="22"/>
        </w:rPr>
        <w:t xml:space="preserve">正常力包络目前基于三次成功装配，样本量不足以代表量产波动。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Noto Sans CJK SC" w:cs="Noto Sans CJK SC" w:eastAsia="Noto Sans CJK SC" w:hAnsi="Noto Sans CJK SC"/>
          <w:color w:val="263746"/>
          <w:sz w:val="22"/>
          <w:szCs w:val="22"/>
        </w:rPr>
        <w:t xml:space="preserve">当前CSV主要记录原始六维力，尚未同步保存phase、progress、trajectory_rate、W_excess、六维修正和seat状态。</w:t>
      </w:r>
    </w:p>
    <w:p>
      <w:pPr>
        <w:pStyle w:val="Heading2"/>
      </w:pPr>
      <w:r>
        <w:t xml:space="preserve">7.1 节拍优化</w:t>
      </w:r>
    </w:p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后续提速不能只提高统一速度参数。应采用阶段化速度规划：自由空间快速运动，接触、插入和压合阶段保持较低速度；同时使用jerk受限轨迹、段间平滑融合以及根据异常力和力增长率连续调整的速度系数。</w:t>
      </w:r>
    </w:p>
    <w:p>
      <w:pPr>
        <w:pStyle w:val="Heading2"/>
      </w:pPr>
      <w:r>
        <w:t xml:space="preserve">7.2 速度相关接触模型</w:t>
      </w:r>
    </w:p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速度提高后惯性力、摩擦力和冲击峰值都会改变。正常力模型需要从W(s)扩展为W(s,v,a)，并重新评估导纳参数、滤波截止频率、传感器时延和修正速度是否仍能跟上名义轨迹。</w:t>
      </w:r>
    </w:p>
    <w:p>
      <w:pPr>
        <w:pStyle w:val="Heading2"/>
      </w:pPr>
      <w:r>
        <w:t xml:space="preserve">7.3 系统化实验验证</w:t>
      </w:r>
    </w:p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建立X、Rx、Ry正负方向、多档幅值和六轴组合误差矩阵；每组重复多次，统计成功率、峰值合力、峰值力矩、P95载荷、恢复时间、装配节拍及Cp/Cpk等工程指标。</w:t>
      </w:r>
    </w:p>
    <w:p>
      <w:pPr>
        <w:pStyle w:val="Heading2"/>
      </w:pPr>
      <w:r>
        <w:t xml:space="preserve">7.4 自动故障恢复与数据闭环</w:t>
      </w:r>
    </w:p>
    <w:p>
      <w:pPr>
        <w:spacing w:after="140" w:line="360"/>
        <w:jc w:val="both"/>
      </w:pPr>
      <w:r>
        <w:rPr>
          <w:rFonts w:ascii="Noto Sans CJK SC" w:cs="Noto Sans CJK SC" w:eastAsia="Noto Sans CJK SC" w:hAnsi="Noto Sans CJK SC"/>
          <w:b w:val="false"/>
          <w:bCs w:val="false"/>
          <w:color w:val="263746"/>
          <w:sz w:val="23"/>
          <w:szCs w:val="23"/>
        </w:rPr>
        <w:t xml:space="preserve">对卡边、修正饱和、未就位和执行器未接受命令进行分类，并设计有限次数的后退、重新对准和再次插入策略。同时同步保存控制状态和视频时间戳，自动生成关键窗口曲线与实验报告。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single" w:color="CCD8E0" w:sz="4"/>
              <w:left w:val="single" w:color="CCD8E0" w:sz="4"/>
              <w:bottom w:val="single" w:color="CCD8E0" w:sz="4"/>
              <w:right w:val="single" w:color="CCD8E0" w:sz="4"/>
            </w:tcBorders>
            <w:shd w:fill="EAF6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173247"/>
                <w:sz w:val="24"/>
                <w:szCs w:val="24"/>
              </w:rPr>
              <w:t xml:space="preserve">后续工作的工程目标</w:t>
            </w:r>
          </w:p>
          <w:p>
            <w:pPr>
              <w:spacing w:after="0" w:line="340"/>
            </w:pPr>
            <w:r>
              <w:rPr>
                <w:rFonts w:ascii="Noto Sans CJK SC" w:cs="Noto Sans CJK SC" w:eastAsia="Noto Sans CJK SC" w:hAnsi="Noto Sans CJK SC"/>
                <w:color w:val="344B5A"/>
                <w:sz w:val="21"/>
                <w:szCs w:val="21"/>
              </w:rPr>
              <w:t xml:space="preserve">在峰值载荷和装配成功率不恶化的前提下缩短节拍，并把控制性能从单次演示提升为可重复、可统计、可追溯的量产能力。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900" w:left="1000" w:header="420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CJK SC" w:cs="Noto Sans CJK SC" w:eastAsia="Noto Sans CJK SC" w:hAnsi="Noto Sans CJK SC"/>
        <w:color w:val="526675"/>
        <w:sz w:val="18"/>
        <w:szCs w:val="18"/>
      </w:rPr>
      <w:t xml:space="preserve">第 </w:t>
    </w:r>
    <w:r>
      <w:rPr>
        <w:rFonts w:ascii="Noto Sans CJK SC" w:cs="Noto Sans CJK SC" w:eastAsia="Noto Sans CJK SC" w:hAnsi="Noto Sans CJK SC"/>
        <w:color w:val="5266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Noto Sans CJK SC" w:cs="Noto Sans CJK SC" w:eastAsia="Noto Sans CJK SC" w:hAnsi="Noto Sans CJK SC"/>
        <w:color w:val="526675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8D3" w:sz="5" w:space="6"/>
      </w:pBdr>
    </w:pPr>
    <w:r>
      <w:rPr>
        <w:rFonts w:ascii="Noto Sans CJK SC" w:cs="Noto Sans CJK SC" w:eastAsia="Noto Sans CJK SC" w:hAnsi="Noto Sans CJK SC"/>
        <w:color w:val="526675"/>
        <w:sz w:val="18"/>
        <w:szCs w:val="18"/>
      </w:rPr>
      <w:t xml:space="preserve">AR5主板装配六维导纳控制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color w:val="263746"/>
        <w:sz w:val="23"/>
        <w:szCs w:val="23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976D2" w:sz="8" w:space="8"/>
      </w:pBdr>
      <w:spacing w:after="180" w:before="300"/>
      <w:outlineLvl w:val="0"/>
    </w:pPr>
    <w:rPr>
      <w:rFonts w:ascii="Noto Sans CJK SC" w:cs="Noto Sans CJK SC" w:eastAsia="Noto Sans CJK SC" w:hAnsi="Noto Sans CJK SC"/>
      <w:b/>
      <w:bCs/>
      <w:color w:val="17324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Noto Sans CJK SC" w:cs="Noto Sans CJK SC" w:eastAsia="Noto Sans CJK SC" w:hAnsi="Noto Sans CJK SC"/>
      <w:b/>
      <w:bCs/>
      <w:color w:val="1976D2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7a40f27c00962801434a150b954e12375f22fb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AR5手机主板装配阶段感知六维导纳控制算法说明</dc:title>
  <dc:creator>AstraFlow</dc:creator>
  <dc:description>六维导纳模型、算法流程、安全保护、技术改进与后续工作</dc:description>
  <cp:lastModifiedBy>Un-named</cp:lastModifiedBy>
  <cp:revision>1</cp:revision>
  <dcterms:created xsi:type="dcterms:W3CDTF">2026-09-09T06:29:40.937Z</dcterms:created>
  <dcterms:modified xsi:type="dcterms:W3CDTF">2026-09-09T06:29:40.937Z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