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文档解析与分片切分策略实践</w:t>
      </w:r>
    </w:p>
    <w:p>
      <w:pPr>
        <w:pStyle w:val="Heading2"/>
      </w:pPr>
      <w:r>
        <w:t>多格式解析与版面判定</w:t>
      </w:r>
    </w:p>
    <w:p>
      <w:r>
        <w:rPr>
          <w:sz w:val="22"/>
        </w:rPr>
        <w:t>知识库要处理的原始文件五花八门：可直接抽取文字的电子版 PDF、Word、Excel、纯文本，也有扫描件、截图、聊天记录导出这类没有文本层或结构松散的资料。解析服务的第一个职责是识别版面：对能直接抽取文本的页面，逐段提取正文与表格；对整页没有文本层的扫描页，则把该页整体渲染成图片，连同占位符一起交给下游做图文理解，文字内容由视觉大模型转录得到，而不是本地维护一套体积庞大的离线 OCR 模型。</w:t>
      </w:r>
    </w:p>
    <w:p>
      <w:pPr>
        <w:pStyle w:val="Heading2"/>
      </w:pPr>
      <w:r>
        <w:t>图片与占位符的对应关系</w:t>
      </w:r>
    </w:p>
    <w:p>
      <w:r>
        <w:rPr>
          <w:sz w:val="22"/>
        </w:rPr>
        <w:t>无论是文档内嵌图片还是扫描页渲染出的图片，解析阶段都只产出文本、占位符与图片二进制，并不调用任何大模型。占位符在正文中独占一行，下游服务按图片 ID 精确定位插入点，把图片的文字描述和转录文本换回占位符所在位置，让图片语义自然地参与到后续统一切分中，而不是把图片孤立成一个缺少上下文的片段。</w:t>
      </w:r>
    </w:p>
    <w:p>
      <w:pPr>
        <w:pStyle w:val="Heading2"/>
      </w:pPr>
      <w:r>
        <w:t>切分策略的选择</w:t>
      </w:r>
    </w:p>
    <w:p>
      <w:r>
        <w:rPr>
          <w:sz w:val="22"/>
        </w:rPr>
        <w:t>拿到清洗后的文本，还需要选一种合适的切分策略：结构清晰的长文档适合按标题层级切分，保留父子关系与层级信息；表格型数据按行切分并把表头拼接进每一行，避免脱离表头后数字失去含义；无结构的长文本（例如聊天记录聚合后的大段内容）更适合语义切分或大模型判断切分点。切分策略与父子分片是两个正交的开关，二者可以自由组合，用评测结果说话，而不是凭经验一次定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kb-rag-deploy demo tools</dc:creator>
  <cp:keywords/>
  <dc:description>generated by python-docx</dc:description>
  <cp:lastModifiedBy>kb-rag-deploy demo tools</cp:lastModifiedBy>
  <cp:revision>1</cp:revision>
  <dcterms:created xsi:type="dcterms:W3CDTF">2026-07-26T00:00:00Z</dcterms:created>
  <dcterms:modified xsi:type="dcterms:W3CDTF">2026-07-26T00:00:00Z</dcterms:modified>
  <cp:category/>
</cp:coreProperties>
</file>