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Site Computerised System Lifecycle Management Procedure</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SOP-CSV-001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CSV Governance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2025-12-15</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SOP-CSV-001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Governance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2025-12-15</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w:t>
      </w:r>
    </w:p>
    <w:p>
      <w:pPr>
        <w:spacing w:after="120" w:line="300" w:lineRule="auto"/>
      </w:pPr>
      <w:r>
        <w:rPr>
          <w:rFonts w:ascii="Calibri" w:hAnsi="Calibri"/>
          <w:b w:val="0"/>
          <w:i w:val="0"/>
          <w:color w:val="000000"/>
          <w:sz w:val="22"/>
        </w:rPr>
        <w:t>This procedure defines the site lifecycle controls for GxP computerised systems. It ensures that applications are selected, specified, configured, verified, released, operated, changed and retired using documented quality risk management. The procedure applies to both applications and the qualified infrastructure on which they depend.</w:t>
      </w:r>
    </w:p>
    <w:p>
      <w:pPr>
        <w:pStyle w:val="Heading1"/>
      </w:pPr>
      <w:r>
        <w:t>2. Scope</w:t>
      </w:r>
    </w:p>
    <w:p>
      <w:pPr>
        <w:spacing w:after="120" w:line="300" w:lineRule="auto"/>
      </w:pPr>
      <w:r>
        <w:rPr>
          <w:rFonts w:ascii="Calibri" w:hAnsi="Calibri"/>
          <w:b w:val="0"/>
          <w:i w:val="0"/>
          <w:color w:val="000000"/>
          <w:sz w:val="22"/>
        </w:rPr>
        <w:t>The procedure applies to systems that create, modify, calculate, transmit, approve, report, archive or retrieve GMP data at Suzhou Sterile Products Manufacturing Site. It includes vendor-hosted services, configurable commercial applications, custom integrations, laboratory instruments, spreadsheets used for GxP decisions, archive repositories and legacy systems.</w:t>
      </w:r>
    </w:p>
    <w:p>
      <w:pPr>
        <w:spacing w:after="120" w:line="300" w:lineRule="auto"/>
      </w:pPr>
      <w:r>
        <w:rPr>
          <w:rFonts w:ascii="Calibri" w:hAnsi="Calibri"/>
          <w:b w:val="0"/>
          <w:i w:val="0"/>
          <w:color w:val="000000"/>
          <w:sz w:val="22"/>
        </w:rPr>
        <w:t>The procedure does not replace analytical method validation, process validation, equipment qualification or information-security procedures; it defines how those controls interface with CSV.</w:t>
      </w:r>
    </w:p>
    <w:p>
      <w:pPr>
        <w:pStyle w:val="Heading1"/>
      </w:pPr>
      <w:r>
        <w:t>3. Definitions</w:t>
      </w:r>
    </w:p>
    <w:tbl>
      <w:tblPr>
        <w:tblStyle w:val="TableGrid"/>
        <w:tblW w:type="dxa" w:w="9360"/>
        <w:tblLayout w:type="fixed"/>
        <w:tblLook w:firstColumn="1" w:firstRow="1" w:lastColumn="0" w:lastRow="0" w:noHBand="0" w:noVBand="1" w:val="04A0"/>
        <w:tblInd w:w="120" w:type="dxa"/>
      </w:tblPr>
      <w:tblGrid>
        <w:gridCol w:w="2403"/>
        <w:gridCol w:w="6957"/>
      </w:tblGrid>
      <w:tr>
        <w:trPr>
          <w:tblHeader w:val="true"/>
        </w:trPr>
        <w:tc>
          <w:tcPr>
            <w:tcW w:type="dxa" w:w="240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Term</w:t>
            </w:r>
          </w:p>
        </w:tc>
        <w:tc>
          <w:tcPr>
            <w:tcW w:type="dxa" w:w="695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Definition</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Computerised system</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The application, hardware, infrastructure, procedures, people and data that together perform a regulated function.</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Process Owner</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The manager accountable for the regulated business process and fitness for intended use.</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The manager accountable for the system lifecycle and maintenance of the validated state.</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Documented evidence that the system consistently fulfils approved requirements for its intended use.</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data</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used to make or support decisions affecting patient safety, product quality or data integrity.</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record</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 regulated record created, modified, maintained, archived, retrieved or transmitted electronically.</w:t>
            </w:r>
          </w:p>
        </w:tc>
      </w:tr>
      <w:tr>
        <w:tc>
          <w:tcPr>
            <w:tcW w:type="dxa" w:w="24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Validated state</w:t>
            </w:r>
          </w:p>
        </w:tc>
        <w:tc>
          <w:tcPr>
            <w:tcW w:type="dxa" w:w="695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The condition in which approved requirements, configuration, procedures, training and evidence remain current and effective.</w:t>
            </w:r>
          </w:p>
        </w:tc>
      </w:tr>
    </w:tbl>
    <w:p>
      <w:pPr>
        <w:spacing w:after="80"/>
      </w:pPr>
    </w:p>
    <w:p>
      <w:pPr>
        <w:pStyle w:val="Heading1"/>
      </w:pPr>
      <w:r>
        <w:t>4. Responsibilities</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responsibility</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Approves the site CSV framework and accepts release or retirement quality conclusions.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Provides independent quality oversight, approves risk-based validation strategy and verifies closure of critical issues.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Process Owner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Defines intended use and requirements, supplies qualified users and accepts business-process performance.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Maintains inventory, access, configuration, incidents, changes, periodic review and retirement.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Owner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Qualifies infrastructure and controls security, backup, restore, monitoring and disaster recovery.</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Provides controlled product, services, documentation, defect resolution and change/security notifications under agreement.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Lead</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Coordinates deliverables, traceability, test governance and validation reporting.</w:t>
            </w:r>
          </w:p>
        </w:tc>
      </w:tr>
    </w:tbl>
    <w:p>
      <w:pPr>
        <w:spacing w:after="80"/>
      </w:pPr>
    </w:p>
    <w:p>
      <w:pPr>
        <w:pStyle w:val="Heading1"/>
      </w:pPr>
      <w:r>
        <w:t>5. Procedure</w:t>
      </w:r>
    </w:p>
    <w:p>
      <w:pPr>
        <w:pStyle w:val="Heading2"/>
      </w:pPr>
      <w:r>
        <w:t>5.1 Inventory and GxP assessment</w:t>
      </w:r>
    </w:p>
    <w:p>
      <w:pPr>
        <w:spacing w:after="120" w:line="300" w:lineRule="auto"/>
      </w:pPr>
      <w:r>
        <w:rPr>
          <w:rFonts w:ascii="Calibri" w:hAnsi="Calibri"/>
          <w:b w:val="0"/>
          <w:i w:val="0"/>
          <w:color w:val="000000"/>
          <w:sz w:val="22"/>
        </w:rPr>
        <w:t>Every system shall be entered in the site inventory before regulated use. The owner shall document intended use, data handled, interfaces, hosting model, GxP impact, validation status, supplier and review date. A system is GxP-relevant when failure could affect product quality, patient safety, regulated decisions or the integrity/availability of required records.</w:t>
      </w:r>
    </w:p>
    <w:p>
      <w:pPr>
        <w:pStyle w:val="Heading2"/>
      </w:pPr>
      <w:r>
        <w:t>5.2 Classification and risk-based lifecycle</w:t>
      </w:r>
    </w:p>
    <w:p>
      <w:pPr>
        <w:spacing w:after="120" w:line="300" w:lineRule="auto"/>
      </w:pPr>
      <w:r>
        <w:rPr>
          <w:rFonts w:ascii="Calibri" w:hAnsi="Calibri"/>
          <w:b w:val="0"/>
          <w:i w:val="0"/>
          <w:color w:val="000000"/>
          <w:sz w:val="22"/>
        </w:rPr>
        <w:t>Software and components shall be classified by complexity and degree of configuration/customisation. Validation depth shall be determined from intended use, GxP impact, data criticality, system complexity, supplier capability and failure risk. Low-risk functions may use concise scripted or unscripted assurance evidence; high-risk functions require pre-approved acceptance criteria and objective records.</w:t>
      </w:r>
    </w:p>
    <w:p>
      <w:pPr>
        <w:pStyle w:val="Heading2"/>
      </w:pPr>
      <w:r>
        <w:t>5.3 Supplier controls</w:t>
      </w:r>
    </w:p>
    <w:p>
      <w:pPr>
        <w:spacing w:after="120" w:line="300" w:lineRule="auto"/>
      </w:pPr>
      <w:r>
        <w:rPr>
          <w:rFonts w:ascii="Calibri" w:hAnsi="Calibri"/>
          <w:b w:val="0"/>
          <w:i w:val="0"/>
          <w:color w:val="000000"/>
          <w:sz w:val="22"/>
        </w:rPr>
        <w:t>Supplier competence and reliability shall be assessed before selection. Formal agreements shall define responsibility for hosting, configuration, support, security, backup, incident notification, change notification, audit access, data return and service termination. Supplier evidence may be leveraged only after a documented assessment of relevance, independence, traceability and execution quality.</w:t>
      </w:r>
    </w:p>
    <w:p>
      <w:pPr>
        <w:pStyle w:val="Heading2"/>
      </w:pPr>
      <w:r>
        <w:t>5.4 Requirements, design and configuration</w:t>
      </w:r>
    </w:p>
    <w:p>
      <w:pPr>
        <w:spacing w:after="120" w:line="300" w:lineRule="auto"/>
      </w:pPr>
      <w:r>
        <w:rPr>
          <w:rFonts w:ascii="Calibri" w:hAnsi="Calibri"/>
          <w:b w:val="0"/>
          <w:i w:val="0"/>
          <w:color w:val="000000"/>
          <w:sz w:val="22"/>
        </w:rPr>
        <w:t>Requirements shall be uniquely identified, testable and linked to intended use and risk. Design and configuration records shall describe architecture, data flows, interfaces, roles, audit trails, electronic signatures, calculations, reports, backup, continuity and migration. Production configuration shall be established as an approved baseline.</w:t>
      </w:r>
    </w:p>
    <w:p>
      <w:pPr>
        <w:pStyle w:val="Heading2"/>
      </w:pPr>
      <w:r>
        <w:t>5.5 Verification</w:t>
      </w:r>
    </w:p>
    <w:p>
      <w:pPr>
        <w:spacing w:after="120" w:line="300" w:lineRule="auto"/>
      </w:pPr>
      <w:r>
        <w:rPr>
          <w:rFonts w:ascii="Calibri" w:hAnsi="Calibri"/>
          <w:b w:val="0"/>
          <w:i w:val="0"/>
          <w:color w:val="000000"/>
          <w:sz w:val="22"/>
        </w:rPr>
        <w:t>Verification shall cover installation, functional operation and representative end-to-end use. Testing shall include normal, boundary, negative and failure-recovery scenarios according to risk. Deviations and defects shall be recorded, investigated and closed or formally accepted before release. Requirements, risks, design and tests shall remain traceable.</w:t>
      </w:r>
    </w:p>
    <w:p>
      <w:pPr>
        <w:pStyle w:val="Heading2"/>
      </w:pPr>
      <w:r>
        <w:t>5.6 Release</w:t>
      </w:r>
    </w:p>
    <w:p>
      <w:pPr>
        <w:spacing w:after="120" w:line="300" w:lineRule="auto"/>
      </w:pPr>
      <w:r>
        <w:rPr>
          <w:rFonts w:ascii="Calibri" w:hAnsi="Calibri"/>
          <w:b w:val="0"/>
          <w:i w:val="0"/>
          <w:color w:val="000000"/>
          <w:sz w:val="22"/>
        </w:rPr>
        <w:t>Release requires an approved validation summary, completed training, effective procedures, accepted migration, verified production baseline, support readiness and an assessment of open items. No critical defect or unresolved high data-integrity risk may remain.</w:t>
      </w:r>
    </w:p>
    <w:p>
      <w:pPr>
        <w:pStyle w:val="Heading2"/>
      </w:pPr>
      <w:r>
        <w:t>5.7 Operation and maintenance</w:t>
      </w:r>
    </w:p>
    <w:p>
      <w:pPr>
        <w:spacing w:after="120" w:line="300" w:lineRule="auto"/>
      </w:pPr>
      <w:r>
        <w:rPr>
          <w:rFonts w:ascii="Calibri" w:hAnsi="Calibri"/>
          <w:b w:val="0"/>
          <w:i w:val="0"/>
          <w:color w:val="000000"/>
          <w:sz w:val="22"/>
        </w:rPr>
        <w:t>The System Owner shall maintain the validated state through controlled access, audit-trail review, backup monitoring, incident/problem management, change control, patch assessment, supplier oversight, security monitoring and periodic review. Significant changes shall trigger risk assessment and proportionate regression or revalidation.</w:t>
      </w:r>
    </w:p>
    <w:p>
      <w:pPr>
        <w:pStyle w:val="Heading2"/>
      </w:pPr>
      <w:r>
        <w:t>5.8 Retirement</w:t>
      </w:r>
    </w:p>
    <w:p>
      <w:pPr>
        <w:spacing w:after="120" w:line="300" w:lineRule="auto"/>
      </w:pPr>
      <w:r>
        <w:rPr>
          <w:rFonts w:ascii="Calibri" w:hAnsi="Calibri"/>
          <w:b w:val="0"/>
          <w:i w:val="0"/>
          <w:color w:val="000000"/>
          <w:sz w:val="22"/>
        </w:rPr>
        <w:t>Retirement shall be planned before disabling the system. Required records, metadata, audit trails, attachments and signatures shall remain readable, retrievable and protected for the retention period. Access and interfaces may be removed only after archive acceptance and business/quality approval.</w:t>
      </w:r>
    </w:p>
    <w:p>
      <w:pPr>
        <w:pStyle w:val="Heading1"/>
      </w:pPr>
      <w:r>
        <w:t>6. Lifecycle gates</w:t>
      </w:r>
    </w:p>
    <w:tbl>
      <w:tblPr>
        <w:tblStyle w:val="TableGrid"/>
        <w:tblW w:type="dxa" w:w="9360"/>
        <w:tblLayout w:type="fixed"/>
        <w:tblLook w:firstColumn="1" w:firstRow="1" w:lastColumn="0" w:lastRow="0" w:noHBand="0" w:noVBand="1" w:val="04A0"/>
        <w:tblInd w:w="120" w:type="dxa"/>
      </w:tblPr>
      <w:tblGrid>
        <w:gridCol w:w="1067"/>
        <w:gridCol w:w="4269"/>
        <w:gridCol w:w="4024"/>
      </w:tblGrid>
      <w:tr>
        <w:trPr>
          <w:tblHeader w:val="true"/>
        </w:trPr>
        <w:tc>
          <w:tcPr>
            <w:tcW w:type="dxa" w:w="106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Gate</w:t>
            </w:r>
          </w:p>
        </w:tc>
        <w:tc>
          <w:tcPr>
            <w:tcW w:type="dxa" w:w="426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entry criteria</w:t>
            </w:r>
          </w:p>
        </w:tc>
        <w:tc>
          <w:tcPr>
            <w:tcW w:type="dxa" w:w="40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Exit decision</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G0 — Initiate</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business need and named owner</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authorised and inventory entry created</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G1 — Define</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scope, intended use and process description</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GxP/classification/risk baseline accepted</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G2 — Design</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URS and supplier strategy</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Design/configuration baseline accepted</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G3 — Verify</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Installed build and approved test plan</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Required tests complete; deviations dispositioned</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G4 — Release</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VSR, training, SOPs, migration and support ready</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Quality release to production</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G5 — Operate</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baseline and operational controls</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Validated state confirmed by periodic review</w:t>
            </w:r>
          </w:p>
        </w:tc>
      </w:tr>
      <w:tr>
        <w:tc>
          <w:tcPr>
            <w:tcW w:type="dxa" w:w="106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G6 — Retire</w:t>
            </w:r>
          </w:p>
        </w:tc>
        <w:tc>
          <w:tcPr>
            <w:tcW w:type="dxa" w:w="426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archive and retirement plan</w:t>
            </w:r>
          </w:p>
        </w:tc>
        <w:tc>
          <w:tcPr>
            <w:tcW w:type="dxa" w:w="40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decommissioned; records remain available</w:t>
            </w:r>
          </w:p>
        </w:tc>
      </w:tr>
    </w:tbl>
    <w:p>
      <w:pPr>
        <w:spacing w:after="80"/>
      </w:pPr>
    </w:p>
    <w:p>
      <w:pPr>
        <w:pStyle w:val="Heading1"/>
      </w:pPr>
      <w:r>
        <w:t>7. Records generated</w:t>
      </w:r>
    </w:p>
    <w:tbl>
      <w:tblPr>
        <w:tblStyle w:val="TableGrid"/>
        <w:tblW w:type="dxa" w:w="9360"/>
        <w:tblLayout w:type="fixed"/>
        <w:tblLook w:firstColumn="1" w:firstRow="1" w:lastColumn="0" w:lastRow="0" w:noHBand="0" w:noVBand="1" w:val="04A0"/>
        <w:tblInd w:w="120" w:type="dxa"/>
      </w:tblPr>
      <w:tblGrid>
        <w:gridCol w:w="3966"/>
        <w:gridCol w:w="1031"/>
        <w:gridCol w:w="4363"/>
      </w:tblGrid>
      <w:tr>
        <w:trPr>
          <w:tblHeader w:val="true"/>
        </w:trPr>
        <w:tc>
          <w:tcPr>
            <w:tcW w:type="dxa" w:w="396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Record</w:t>
            </w:r>
          </w:p>
        </w:tc>
        <w:tc>
          <w:tcPr>
            <w:tcW w:type="dxa" w:w="103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Owner</w:t>
            </w:r>
          </w:p>
        </w:tc>
        <w:tc>
          <w:tcPr>
            <w:tcW w:type="dxa" w:w="436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Retention rule</w:t>
            </w:r>
          </w:p>
        </w:tc>
      </w:tr>
      <w:tr>
        <w:tc>
          <w:tcPr>
            <w:tcW w:type="dxa" w:w="39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inventory and assessments</w:t>
            </w:r>
          </w:p>
        </w:tc>
        <w:tc>
          <w:tcPr>
            <w:tcW w:type="dxa" w:w="103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43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life plus applicable record-retention period</w:t>
            </w:r>
          </w:p>
        </w:tc>
      </w:tr>
      <w:tr>
        <w:tc>
          <w:tcPr>
            <w:tcW w:type="dxa" w:w="39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Requirements, design, risk and test evidence</w:t>
            </w:r>
          </w:p>
        </w:tc>
        <w:tc>
          <w:tcPr>
            <w:tcW w:type="dxa" w:w="103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Lead</w:t>
            </w:r>
          </w:p>
        </w:tc>
        <w:tc>
          <w:tcPr>
            <w:tcW w:type="dxa" w:w="43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life plus applicable record-retention period</w:t>
            </w:r>
          </w:p>
        </w:tc>
      </w:tr>
      <w:tr>
        <w:tc>
          <w:tcPr>
            <w:tcW w:type="dxa" w:w="39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Access, audit, backup, incident and change records</w:t>
            </w:r>
          </w:p>
        </w:tc>
        <w:tc>
          <w:tcPr>
            <w:tcW w:type="dxa" w:w="103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43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 GMP record schedule; not less than the related regulated record</w:t>
            </w:r>
          </w:p>
        </w:tc>
      </w:tr>
      <w:tr>
        <w:tc>
          <w:tcPr>
            <w:tcW w:type="dxa" w:w="396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and retirement dossier index</w:t>
            </w:r>
          </w:p>
        </w:tc>
        <w:tc>
          <w:tcPr>
            <w:tcW w:type="dxa" w:w="103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w:t>
            </w:r>
          </w:p>
        </w:tc>
        <w:tc>
          <w:tcPr>
            <w:tcW w:type="dxa" w:w="43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Permanent index; underlying records per retention schedule</w:t>
            </w:r>
          </w:p>
        </w:tc>
      </w:tr>
    </w:tbl>
    <w:p>
      <w:pPr>
        <w:spacing w:after="80"/>
      </w:pPr>
    </w:p>
    <w:p>
      <w:pPr>
        <w:pStyle w:val="Heading1"/>
      </w:pPr>
      <w:r>
        <w:t>8.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VMP-SZ-001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Validation Master Plan](002_Validation_Master_Plan.md)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Computerised System Inventory](003_Computerised_System_Inventory.md)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QCL-2026-RACI-001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CSV RACI and Responsibilities Matrix](004_CSV_RACI_and_Responsibilities_Matrix.md)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Program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2025-12-15</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SOP-CSV-001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SOP-CSV-001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Computerised System Lifecycle Management Procedure</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