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Site Validation Master Plan</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VMP-SZ-001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CSV Governance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2025-12-15</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VMP-SZ-001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 Governance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2025-12-15</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Purpose and site validation policy</w:t>
      </w:r>
    </w:p>
    <w:p>
      <w:pPr>
        <w:spacing w:after="120" w:line="300" w:lineRule="auto"/>
      </w:pPr>
      <w:r>
        <w:rPr>
          <w:rFonts w:ascii="Calibri" w:hAnsi="Calibri"/>
          <w:b w:val="0"/>
          <w:i w:val="0"/>
          <w:color w:val="000000"/>
          <w:sz w:val="22"/>
        </w:rPr>
        <w:t>This Validation Master Plan describes how Suzhou Sterile Products Manufacturing Site governs qualification and validation. Computerised applications used in GMP operations shall be validated for intended use and supporting infrastructure shall be qualified. Scope and depth are based on documented risk, and retrospective validation is not accepted as a substitute for planned lifecycle evidence.</w:t>
      </w:r>
    </w:p>
    <w:p>
      <w:pPr>
        <w:pStyle w:val="Heading1"/>
      </w:pPr>
      <w:r>
        <w:t>2. Site system portfolio</w:t>
      </w:r>
    </w:p>
    <w:tbl>
      <w:tblPr>
        <w:tblStyle w:val="TableGrid"/>
        <w:tblW w:type="dxa" w:w="9360"/>
        <w:tblLayout w:type="fixed"/>
        <w:tblLook w:firstColumn="1" w:firstRow="1" w:lastColumn="0" w:lastRow="0" w:noHBand="0" w:noVBand="1" w:val="04A0"/>
        <w:tblInd w:w="120" w:type="dxa"/>
      </w:tblPr>
      <w:tblGrid>
        <w:gridCol w:w="2005"/>
        <w:gridCol w:w="3677"/>
        <w:gridCol w:w="3678"/>
      </w:tblGrid>
      <w:tr>
        <w:trPr>
          <w:tblHeader w:val="true"/>
        </w:trPr>
        <w:tc>
          <w:tcPr>
            <w:tcW w:type="dxa" w:w="200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Portfolio class</w:t>
            </w:r>
          </w:p>
        </w:tc>
        <w:tc>
          <w:tcPr>
            <w:tcW w:type="dxa" w:w="3677"/>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Examples</w:t>
            </w:r>
          </w:p>
        </w:tc>
        <w:tc>
          <w:tcPr>
            <w:tcW w:type="dxa" w:w="367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Site approach</w:t>
            </w:r>
          </w:p>
        </w:tc>
      </w:tr>
      <w:tr>
        <w:tc>
          <w:tcPr>
            <w:tcW w:type="dxa" w:w="200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High GxP applications</w:t>
            </w:r>
          </w:p>
        </w:tc>
        <w:tc>
          <w:tcPr>
            <w:tcW w:type="dxa" w:w="367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LIMS/LES, MES, eQMS, ERP quality modules, CDS/SDMS</w:t>
            </w:r>
          </w:p>
        </w:tc>
        <w:tc>
          <w:tcPr>
            <w:tcW w:type="dxa" w:w="367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System-specific validation plan, URS, risk, traceability, verification, VSR and annual review</w:t>
            </w:r>
          </w:p>
        </w:tc>
      </w:tr>
      <w:tr>
        <w:tc>
          <w:tcPr>
            <w:tcW w:type="dxa" w:w="200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GxP infrastructure</w:t>
            </w:r>
          </w:p>
        </w:tc>
        <w:tc>
          <w:tcPr>
            <w:tcW w:type="dxa" w:w="367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Identity, database, virtualisation, backup, network, archive</w:t>
            </w:r>
          </w:p>
        </w:tc>
        <w:tc>
          <w:tcPr>
            <w:tcW w:type="dxa" w:w="367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Qualification, configuration baseline, monitoring, restore/DR evidence</w:t>
            </w:r>
          </w:p>
        </w:tc>
      </w:tr>
      <w:tr>
        <w:tc>
          <w:tcPr>
            <w:tcW w:type="dxa" w:w="200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Configurable instruments</w:t>
            </w:r>
          </w:p>
        </w:tc>
        <w:tc>
          <w:tcPr>
            <w:tcW w:type="dxa" w:w="367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Chromatography, TOC, balances with electronic records</w:t>
            </w:r>
          </w:p>
        </w:tc>
        <w:tc>
          <w:tcPr>
            <w:tcW w:type="dxa" w:w="367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Instrument qualification plus software/data-integrity controls</w:t>
            </w:r>
          </w:p>
        </w:tc>
      </w:tr>
      <w:tr>
        <w:tc>
          <w:tcPr>
            <w:tcW w:type="dxa" w:w="200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User-developed applications</w:t>
            </w:r>
          </w:p>
        </w:tc>
        <w:tc>
          <w:tcPr>
            <w:tcW w:type="dxa" w:w="367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Critical spreadsheets, databases and scripts</w:t>
            </w:r>
          </w:p>
        </w:tc>
        <w:tc>
          <w:tcPr>
            <w:tcW w:type="dxa" w:w="367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Use-based risk assessment, specification, verification and controlled operation</w:t>
            </w:r>
          </w:p>
        </w:tc>
      </w:tr>
      <w:tr>
        <w:tc>
          <w:tcPr>
            <w:tcW w:type="dxa" w:w="200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Non-GxP tools</w:t>
            </w:r>
          </w:p>
        </w:tc>
        <w:tc>
          <w:tcPr>
            <w:tcW w:type="dxa" w:w="367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Administrative utilities with no regulated record/decision</w:t>
            </w:r>
          </w:p>
        </w:tc>
        <w:tc>
          <w:tcPr>
            <w:tcW w:type="dxa" w:w="367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Documented exclusion and basic IT controls</w:t>
            </w:r>
          </w:p>
        </w:tc>
      </w:tr>
    </w:tbl>
    <w:p>
      <w:pPr>
        <w:spacing w:after="80"/>
      </w:pPr>
    </w:p>
    <w:p>
      <w:pPr>
        <w:pStyle w:val="Heading1"/>
      </w:pPr>
      <w:r>
        <w:t>3. Organisation</w:t>
      </w:r>
    </w:p>
    <w:p>
      <w:pPr>
        <w:spacing w:after="120" w:line="300" w:lineRule="auto"/>
      </w:pPr>
      <w:r>
        <w:rPr>
          <w:rFonts w:ascii="Calibri" w:hAnsi="Calibri"/>
          <w:b w:val="0"/>
          <w:i w:val="0"/>
          <w:color w:val="000000"/>
          <w:sz w:val="22"/>
        </w:rPr>
        <w:t>The Site Quality Head owns the validation governance model. Process Owners are accountable for intended use and business acceptance. System Owners maintain validated state. QA provides independent oversight. IT qualifies common infrastructure. Suppliers remain subject to formal agreements and oversight.</w:t>
      </w:r>
    </w:p>
    <w:p>
      <w:pPr>
        <w:pStyle w:val="Heading1"/>
      </w:pPr>
      <w:r>
        <w:t>4. Planning principles</w:t>
      </w:r>
    </w:p>
    <w:p>
      <w:pPr>
        <w:spacing w:after="120" w:line="300" w:lineRule="auto"/>
      </w:pPr>
      <w:r>
        <w:rPr>
          <w:rFonts w:ascii="Calibri" w:hAnsi="Calibri"/>
          <w:b w:val="0"/>
          <w:i w:val="0"/>
          <w:color w:val="000000"/>
          <w:sz w:val="22"/>
        </w:rPr>
        <w:t>1. Every GxP system shall have an inventory record and named owner. 2. Validation deliverables may be combined where the rationale is documented and traceability remains clear. 3. Supplier documentation is leveraged only after assessment. 4. Critical functions receive explicit acceptance criteria and objective test evidence. 5. Data migration, electronic signatures, audit trails, interfaces and record retention receive dedicated controls where applicable. 6. Periodic review frequency is risk-based, normally annual for high GxP systems and every two years for medium-impact systems. 7. Significant change, repeated incident, supplier change or adverse trend may trigger revalidation.</w:t>
      </w:r>
    </w:p>
    <w:p>
      <w:pPr>
        <w:pStyle w:val="Heading1"/>
      </w:pPr>
      <w:r>
        <w:t>5. 2026–2028 site validation programme</w:t>
      </w:r>
    </w:p>
    <w:tbl>
      <w:tblPr>
        <w:tblStyle w:val="TableGrid"/>
        <w:tblW w:type="dxa" w:w="9360"/>
        <w:tblLayout w:type="fixed"/>
        <w:tblLook w:firstColumn="1" w:firstRow="1" w:lastColumn="0" w:lastRow="0" w:noHBand="0" w:noVBand="1" w:val="04A0"/>
        <w:tblInd w:w="120" w:type="dxa"/>
      </w:tblPr>
      <w:tblGrid>
        <w:gridCol w:w="2415"/>
        <w:gridCol w:w="1434"/>
        <w:gridCol w:w="1358"/>
        <w:gridCol w:w="4153"/>
      </w:tblGrid>
      <w:tr>
        <w:trPr>
          <w:tblHeader w:val="true"/>
        </w:trPr>
        <w:tc>
          <w:tcPr>
            <w:tcW w:type="dxa" w:w="241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Programme item</w:t>
            </w:r>
          </w:p>
        </w:tc>
        <w:tc>
          <w:tcPr>
            <w:tcW w:type="dxa" w:w="143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Owner</w:t>
            </w:r>
          </w:p>
        </w:tc>
        <w:tc>
          <w:tcPr>
            <w:tcW w:type="dxa" w:w="135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Target</w:t>
            </w:r>
          </w:p>
        </w:tc>
        <w:tc>
          <w:tcPr>
            <w:tcW w:type="dxa" w:w="415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Planned evidence</w:t>
            </w:r>
          </w:p>
        </w:tc>
      </w:tr>
      <w:tr>
        <w:tc>
          <w:tcPr>
            <w:tcW w:type="dxa" w:w="241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implementation</w:t>
            </w:r>
          </w:p>
        </w:tc>
        <w:tc>
          <w:tcPr>
            <w:tcW w:type="dxa" w:w="143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 System Owner</w:t>
            </w:r>
          </w:p>
        </w:tc>
        <w:tc>
          <w:tcPr>
            <w:tcW w:type="dxa" w:w="13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Go-live 2027-06-15</w:t>
            </w:r>
          </w:p>
        </w:tc>
        <w:tc>
          <w:tcPr>
            <w:tcW w:type="dxa" w:w="415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 validation plan, URS, design, IQ/OQ/PQ, migration, VSR</w:t>
            </w:r>
          </w:p>
        </w:tc>
      </w:tr>
      <w:tr>
        <w:tc>
          <w:tcPr>
            <w:tcW w:type="dxa" w:w="241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LIMS 6.2 retirement</w:t>
            </w:r>
          </w:p>
        </w:tc>
        <w:tc>
          <w:tcPr>
            <w:tcW w:type="dxa" w:w="143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System Owner</w:t>
            </w:r>
          </w:p>
        </w:tc>
        <w:tc>
          <w:tcPr>
            <w:tcW w:type="dxa" w:w="13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2028-03-31</w:t>
            </w:r>
          </w:p>
        </w:tc>
        <w:tc>
          <w:tcPr>
            <w:tcW w:type="dxa" w:w="415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Archive verification and retirement dossier</w:t>
            </w:r>
          </w:p>
        </w:tc>
      </w:tr>
      <w:tr>
        <w:tc>
          <w:tcPr>
            <w:tcW w:type="dxa" w:w="241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ChromLink CDS patch programme</w:t>
            </w:r>
          </w:p>
        </w:tc>
        <w:tc>
          <w:tcPr>
            <w:tcW w:type="dxa" w:w="143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 Data Owner</w:t>
            </w:r>
          </w:p>
        </w:tc>
        <w:tc>
          <w:tcPr>
            <w:tcW w:type="dxa" w:w="13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2027 Q3</w:t>
            </w:r>
          </w:p>
        </w:tc>
        <w:tc>
          <w:tcPr>
            <w:tcW w:type="dxa" w:w="415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Patch assessment and regression</w:t>
            </w:r>
          </w:p>
        </w:tc>
      </w:tr>
      <w:tr>
        <w:tc>
          <w:tcPr>
            <w:tcW w:type="dxa" w:w="241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Critical spreadsheet remediation</w:t>
            </w:r>
          </w:p>
        </w:tc>
        <w:tc>
          <w:tcPr>
            <w:tcW w:type="dxa" w:w="143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 Process Owners</w:t>
            </w:r>
          </w:p>
        </w:tc>
        <w:tc>
          <w:tcPr>
            <w:tcW w:type="dxa" w:w="13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2027 Q4</w:t>
            </w:r>
          </w:p>
        </w:tc>
        <w:tc>
          <w:tcPr>
            <w:tcW w:type="dxa" w:w="415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Inventory, risk, migration or controlled retirement</w:t>
            </w:r>
          </w:p>
        </w:tc>
      </w:tr>
      <w:tr>
        <w:tc>
          <w:tcPr>
            <w:tcW w:type="dxa" w:w="241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Annual site inventory review</w:t>
            </w:r>
          </w:p>
        </w:tc>
        <w:tc>
          <w:tcPr>
            <w:tcW w:type="dxa" w:w="143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 Program Lead</w:t>
            </w:r>
          </w:p>
        </w:tc>
        <w:tc>
          <w:tcPr>
            <w:tcW w:type="dxa" w:w="13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Each January</w:t>
            </w:r>
          </w:p>
        </w:tc>
        <w:tc>
          <w:tcPr>
            <w:tcW w:type="dxa" w:w="415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inventory and overdue-action report</w:t>
            </w:r>
          </w:p>
        </w:tc>
      </w:tr>
    </w:tbl>
    <w:p>
      <w:pPr>
        <w:spacing w:after="80"/>
      </w:pPr>
    </w:p>
    <w:p>
      <w:pPr>
        <w:pStyle w:val="Heading1"/>
      </w:pPr>
      <w:r>
        <w:t>6. Validation status reporting</w:t>
      </w:r>
    </w:p>
    <w:p>
      <w:pPr>
        <w:spacing w:after="120" w:line="300" w:lineRule="auto"/>
      </w:pPr>
      <w:r>
        <w:rPr>
          <w:rFonts w:ascii="Calibri" w:hAnsi="Calibri"/>
          <w:b w:val="0"/>
          <w:i w:val="0"/>
          <w:color w:val="000000"/>
          <w:sz w:val="22"/>
        </w:rPr>
        <w:t>Monthly status reports shall show planned/actual deliverables, overdue approvals, open high risks, test progress, defect/deviation ageing, training readiness and release risks. Quality escalation is required for any critical finding, unapproved production change, data loss or risk to record integrity.</w:t>
      </w:r>
    </w:p>
    <w:p>
      <w:pPr>
        <w:pStyle w:val="Heading1"/>
      </w:pPr>
      <w:r>
        <w:t>7. Acceptance metrics</w:t>
      </w:r>
    </w:p>
    <w:tbl>
      <w:tblPr>
        <w:tblStyle w:val="TableGrid"/>
        <w:tblW w:type="dxa" w:w="9360"/>
        <w:tblLayout w:type="fixed"/>
        <w:tblLook w:firstColumn="1" w:firstRow="1" w:lastColumn="0" w:lastRow="0" w:noHBand="0" w:noVBand="1" w:val="04A0"/>
        <w:tblInd w:w="120" w:type="dxa"/>
      </w:tblPr>
      <w:tblGrid>
        <w:gridCol w:w="5362"/>
        <w:gridCol w:w="3998"/>
      </w:tblGrid>
      <w:tr>
        <w:trPr>
          <w:tblHeader w:val="true"/>
        </w:trPr>
        <w:tc>
          <w:tcPr>
            <w:tcW w:type="dxa" w:w="536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Metric</w:t>
            </w:r>
          </w:p>
        </w:tc>
        <w:tc>
          <w:tcPr>
            <w:tcW w:type="dxa" w:w="39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Site target</w:t>
            </w:r>
          </w:p>
        </w:tc>
      </w:tr>
      <w:tr>
        <w:tc>
          <w:tcPr>
            <w:tcW w:type="dxa" w:w="53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High-risk requirements with approved verification coverage</w:t>
            </w:r>
          </w:p>
        </w:tc>
        <w:tc>
          <w:tcPr>
            <w:tcW w:type="dxa" w:w="39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100%</w:t>
            </w:r>
          </w:p>
        </w:tc>
      </w:tr>
      <w:tr>
        <w:tc>
          <w:tcPr>
            <w:tcW w:type="dxa" w:w="53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Critical/high validation deviations open at release</w:t>
            </w:r>
          </w:p>
        </w:tc>
        <w:tc>
          <w:tcPr>
            <w:tcW w:type="dxa" w:w="39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0</w:t>
            </w:r>
          </w:p>
        </w:tc>
      </w:tr>
      <w:tr>
        <w:tc>
          <w:tcPr>
            <w:tcW w:type="dxa" w:w="53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Production users trained and authorised before access</w:t>
            </w:r>
          </w:p>
        </w:tc>
        <w:tc>
          <w:tcPr>
            <w:tcW w:type="dxa" w:w="39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100%</w:t>
            </w:r>
          </w:p>
        </w:tc>
      </w:tr>
      <w:tr>
        <w:tc>
          <w:tcPr>
            <w:tcW w:type="dxa" w:w="53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Annual periodic reviews completed by due date</w:t>
            </w:r>
          </w:p>
        </w:tc>
        <w:tc>
          <w:tcPr>
            <w:tcW w:type="dxa" w:w="39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≥95%; no high GxP system &gt;30 days overdue</w:t>
            </w:r>
          </w:p>
        </w:tc>
      </w:tr>
      <w:tr>
        <w:tc>
          <w:tcPr>
            <w:tcW w:type="dxa" w:w="53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Backup restore exercises completed for tier-1 systems</w:t>
            </w:r>
          </w:p>
        </w:tc>
        <w:tc>
          <w:tcPr>
            <w:tcW w:type="dxa" w:w="39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At least annually</w:t>
            </w:r>
          </w:p>
        </w:tc>
      </w:tr>
    </w:tbl>
    <w:p>
      <w:pPr>
        <w:spacing w:after="80"/>
      </w:pPr>
    </w:p>
    <w:p>
      <w:pPr>
        <w:pStyle w:val="Heading1"/>
      </w:pPr>
      <w:r>
        <w:t>8.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SOP-CSV-001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Computerised System Lifecycle Management Procedure](001_CSV_Lifecycle_Management_Procedure.md)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CSI-SZ-001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Computerised System Inventory](003_Computerised_System_Inventory.md)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QCL-2026-VP-001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Project Validation Plan](015_Project_Validation_Plan.md)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QCL-2026-MDL-001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[Master Deliverable List and Schedule](016_Master_Deliverable_List_and_Schedule.md)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333"/>
        <w:gridCol w:w="2692"/>
        <w:gridCol w:w="3335"/>
      </w:tblGrid>
      <w:tr>
        <w:trPr>
          <w:tblHeader w:val="true"/>
        </w:trPr>
        <w:tc>
          <w:tcPr>
            <w:tcW w:type="dxa" w:w="333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269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33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 Program Lead</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Validation Manager</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Quality Head</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2025-12-15</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VMP-SZ-001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VMP-SZ-001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Validation Master Plan</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