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Site Computerised System Inventory</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CSI-SZ-001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CSV Governance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2026-01-15</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CSI-SZ-001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 Governance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2026-01-15</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Purpose</w:t>
      </w:r>
    </w:p>
    <w:p>
      <w:pPr>
        <w:spacing w:after="120" w:line="300" w:lineRule="auto"/>
      </w:pPr>
      <w:r>
        <w:rPr>
          <w:rFonts w:ascii="Calibri" w:hAnsi="Calibri"/>
          <w:b w:val="0"/>
          <w:i w:val="0"/>
          <w:color w:val="000000"/>
          <w:sz w:val="22"/>
        </w:rPr>
        <w:t>This inventory is the controlled site register for systems supporting the QCLabOne 2.0 process. It records ownership, GxP impact, validation state and lifecycle status. The full site inventory is maintained in the eQMS; the table below is the approved project-relevant extract.</w:t>
      </w:r>
    </w:p>
    <w:p>
      <w:pPr>
        <w:pStyle w:val="Heading1"/>
      </w:pPr>
      <w:r>
        <w:t>2. Inclusion criteria</w:t>
      </w:r>
    </w:p>
    <w:p>
      <w:pPr>
        <w:spacing w:after="120" w:line="300" w:lineRule="auto"/>
      </w:pPr>
      <w:r>
        <w:rPr>
          <w:rFonts w:ascii="Calibri" w:hAnsi="Calibri"/>
          <w:b w:val="0"/>
          <w:i w:val="0"/>
          <w:color w:val="000000"/>
          <w:sz w:val="22"/>
        </w:rPr>
        <w:t>A component is included when it creates, modifies, calculates, transmits, approves, reports, archives or retrieves GMP data; controls identity or access; provides qualified infrastructure; or must be retained/retired as part of the regulated process.</w:t>
      </w:r>
    </w:p>
    <w:p>
      <w:pPr>
        <w:pStyle w:val="Heading1"/>
      </w:pPr>
      <w:r>
        <w:t>3. Inventory register</w:t>
      </w:r>
    </w:p>
    <w:tbl>
      <w:tblPr>
        <w:tblStyle w:val="TableGrid"/>
        <w:tblW w:type="dxa" w:w="9360"/>
        <w:tblLayout w:type="fixed"/>
        <w:tblLook w:firstColumn="1" w:firstRow="1" w:lastColumn="0" w:lastRow="0" w:noHBand="0" w:noVBand="1" w:val="04A0"/>
        <w:tblInd w:w="120" w:type="dxa"/>
      </w:tblPr>
      <w:tblGrid>
        <w:gridCol w:w="720"/>
        <w:gridCol w:w="1539"/>
        <w:gridCol w:w="720"/>
        <w:gridCol w:w="1497"/>
        <w:gridCol w:w="1331"/>
        <w:gridCol w:w="832"/>
        <w:gridCol w:w="998"/>
        <w:gridCol w:w="1723"/>
      </w:tblGrid>
      <w:tr>
        <w:trPr>
          <w:tblHeader w:val="true"/>
        </w:trPr>
        <w:tc>
          <w:tcPr>
            <w:tcW w:type="dxa" w:w="720"/>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5"/>
              </w:rPr>
              <w:t>ID</w:t>
            </w:r>
          </w:p>
        </w:tc>
        <w:tc>
          <w:tcPr>
            <w:tcW w:type="dxa" w:w="1539"/>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System/component</w:t>
            </w:r>
          </w:p>
        </w:tc>
        <w:tc>
          <w:tcPr>
            <w:tcW w:type="dxa" w:w="720"/>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5"/>
              </w:rPr>
              <w:t>Version</w:t>
            </w:r>
          </w:p>
        </w:tc>
        <w:tc>
          <w:tcPr>
            <w:tcW w:type="dxa" w:w="149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Type</w:t>
            </w:r>
          </w:p>
        </w:tc>
        <w:tc>
          <w:tcPr>
            <w:tcW w:type="dxa" w:w="133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Hosting/location</w:t>
            </w:r>
          </w:p>
        </w:tc>
        <w:tc>
          <w:tcPr>
            <w:tcW w:type="dxa" w:w="83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GxP impact</w:t>
            </w:r>
          </w:p>
        </w:tc>
        <w:tc>
          <w:tcPr>
            <w:tcW w:type="dxa" w:w="9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Owner</w:t>
            </w:r>
          </w:p>
        </w:tc>
        <w:tc>
          <w:tcPr>
            <w:tcW w:type="dxa" w:w="172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Validation/lifecycle state</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SYS-001</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QCLabOne 2.0 LIMS/LES</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LabSphere LIMS/LES 8.4.2</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Configurable application</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Vendor private cloud</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High</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QC System Owner</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 validation / Production from 2027-06-15</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SYS-002</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QCL-IGW-01 Interface Gateway</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Gateway 3.6.1</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Custom integration + infrastructure</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On-site virtual server</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High</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IT System Owner</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Qualified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SYS-003</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SAP S/4HANA QC Interface</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SAP S/4HANA 2023</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Existing validated enterprise system</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Corporate data centre</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High</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ERP Process Owner</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Validated; interface impact assessed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SYS-004</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QualiTrack eQMS Interface</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QualiTrack 5.6</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Existing validated quality system</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Corporate private cloud</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High</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QA Process Owner</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Validated; interface impact assessed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SYS-005</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ChromLink CDS/SDMS Result Interface</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ChromLink 7.2</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Existing validated laboratory system</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On-site data centre</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High</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QC Data Owner</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Validated; interface tested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SYS-006</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Corporate Identity Service</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AD FS 2022</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Qualified infrastructure</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Corporate data centre</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IT Security Owner</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Qualified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SYS-007</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Legacy LIMS 6.2</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Legacy LIMS 6.2 / Oracle 12c</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Legacy configurable application</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On-site data centre</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High</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Legacy System Owner</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Read-only; retirement planned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SYS-008</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Controlled QC Excel Registers</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Office LTSC 2021</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User-developed applications</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Controlled file share</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Medium/High by use</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QC Process Owners</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Replacement/archival in progress</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SYS-009</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Long-Term Archive Repository</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ArchiveVault 4.1</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Configurable archive service</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Vendor private cloud</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High</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Records Management Owner</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Qualified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SYS-010</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Veeam Backup Platform</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Veeam 12.1</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Qualified infrastructure</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On-site DR centre</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High support</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IT Infrastructure Owner</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Qualified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SYS-011</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Laboratory Balances/pH/TOC Interfaces</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24 devices, model list in ICS</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Instrument interfaces</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QC laboratories</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High</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QC Instrument Owner</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Qualified/interface tested</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SYS-012</w:t>
            </w:r>
          </w:p>
        </w:tc>
        <w:tc>
          <w:tcPr>
            <w:tcW w:type="dxa" w:w="1539"/>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Barcode Printers and Scanners</w:t>
            </w:r>
          </w:p>
        </w:tc>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18 printers, 42 scanners</w:t>
            </w:r>
          </w:p>
        </w:tc>
        <w:tc>
          <w:tcPr>
            <w:tcW w:type="dxa" w:w="1497"/>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Peripheral devices</w:t>
            </w:r>
          </w:p>
        </w:tc>
        <w:tc>
          <w:tcPr>
            <w:tcW w:type="dxa" w:w="1331"/>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QC laboratories</w:t>
            </w:r>
          </w:p>
        </w:tc>
        <w:tc>
          <w:tcPr>
            <w:tcW w:type="dxa" w:w="83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c>
          <w:tcPr>
            <w:tcW w:type="dxa" w:w="99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QC Operations Owner</w:t>
            </w:r>
          </w:p>
        </w:tc>
        <w:tc>
          <w:tcPr>
            <w:tcW w:type="dxa" w:w="1723"/>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Verified</w:t>
            </w:r>
          </w:p>
        </w:tc>
      </w:tr>
    </w:tbl>
    <w:p>
      <w:pPr>
        <w:spacing w:after="80"/>
      </w:pPr>
    </w:p>
    <w:p>
      <w:pPr>
        <w:pStyle w:val="Heading1"/>
      </w:pPr>
      <w:r>
        <w:t>4. Review and maintenance</w:t>
      </w:r>
    </w:p>
    <w:p>
      <w:pPr>
        <w:spacing w:after="120" w:line="300" w:lineRule="auto"/>
      </w:pPr>
      <w:r>
        <w:rPr>
          <w:rFonts w:ascii="Calibri" w:hAnsi="Calibri"/>
          <w:b w:val="0"/>
          <w:i w:val="0"/>
          <w:color w:val="000000"/>
          <w:sz w:val="22"/>
        </w:rPr>
        <w:t>The System Owner shall update the inventory after implementation, version change, hosting change, new interface, change of intended use, ownership transfer, periodic review or retirement. The next formal review for high-impact entries is due 2028-03-15 unless an earlier trigger occurs.</w:t>
      </w:r>
    </w:p>
    <w:p>
      <w:pPr>
        <w:pStyle w:val="Heading1"/>
      </w:pPr>
      <w:r>
        <w:t>5. Key decisions</w:t>
      </w:r>
    </w:p>
    <w:p>
      <w:pPr>
        <w:pStyle w:val="ListBullet"/>
        <w:spacing w:after="80" w:line="300" w:lineRule="auto"/>
      </w:pPr>
      <w:r>
        <w:rPr>
          <w:rFonts w:ascii="Calibri" w:hAnsi="Calibri"/>
          <w:color w:val="000000"/>
          <w:sz w:val="22"/>
        </w:rPr>
        <w:t>QCLabOne is the official record system for sample metadata, LES execution, calculations, review/approval, audit trails and controlled reports.</w:t>
      </w:r>
    </w:p>
    <w:p>
      <w:pPr>
        <w:pStyle w:val="ListBullet"/>
        <w:spacing w:after="80" w:line="300" w:lineRule="auto"/>
      </w:pPr>
      <w:r>
        <w:rPr>
          <w:rFonts w:ascii="Calibri" w:hAnsi="Calibri"/>
          <w:color w:val="000000"/>
          <w:sz w:val="22"/>
        </w:rPr>
        <w:t>ChromLink CDS/SDMS remains the official source for chromatographic raw and processed source data. QCLabOne stores approved numerical results and a stable source link.</w:t>
      </w:r>
    </w:p>
    <w:p>
      <w:pPr>
        <w:pStyle w:val="ListBullet"/>
        <w:spacing w:after="80" w:line="300" w:lineRule="auto"/>
      </w:pPr>
      <w:r>
        <w:rPr>
          <w:rFonts w:ascii="Calibri" w:hAnsi="Calibri"/>
          <w:color w:val="000000"/>
          <w:sz w:val="22"/>
        </w:rPr>
        <w:t>ArchiveVault is the official long-term source for retired Legacy LIMS records and later archived closed records.</w:t>
      </w:r>
    </w:p>
    <w:p>
      <w:pPr>
        <w:pStyle w:val="ListBullet"/>
        <w:spacing w:after="80" w:line="300" w:lineRule="auto"/>
      </w:pPr>
      <w:r>
        <w:rPr>
          <w:rFonts w:ascii="Calibri" w:hAnsi="Calibri"/>
          <w:color w:val="000000"/>
          <w:sz w:val="22"/>
        </w:rPr>
        <w:t>Excel registers are assessed individually; no blanket “medium” classification is permitted.</w:t>
      </w:r>
    </w:p>
    <w:p>
      <w:pPr>
        <w:pStyle w:val="ListBullet"/>
        <w:spacing w:after="80" w:line="300" w:lineRule="auto"/>
      </w:pPr>
      <w:r>
        <w:rPr>
          <w:rFonts w:ascii="Calibri" w:hAnsi="Calibri"/>
          <w:color w:val="000000"/>
          <w:sz w:val="22"/>
        </w:rPr>
        <w:t>Identity and backup platforms are supporting infrastructure but are included because failure could compromise high-impact applications.</w:t>
      </w:r>
    </w:p>
    <w:p>
      <w:pPr>
        <w:pStyle w:val="Heading1"/>
      </w:pPr>
      <w:r>
        <w:t>6.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SOP-CSV-001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Computerised System Lifecycle Management Procedure](001_CSV_Lifecycle_Management_Procedure.md)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VMP-SZ-001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Validation Master Plan](002_Validation_Master_Plan.md)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QCL-2026-GXP-001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GxP Impact Assessment](009_GxP_Impact_Assessment.md)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QCL-2026-CLA-001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Classification and Criticality Assessment](010_System_Classification_and_Criticality_Assessment.md)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QCL-2028-PRR-001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[Annual Periodic Review Report](092_Annual_Periodic_Review_Report.md)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CSI-SZ-001-CHG-2028-03</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[Computerised System Inventory Update—Retired Status](107_Computerised_System_Inventory_Update_Retired_Status.md)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333"/>
        <w:gridCol w:w="2692"/>
        <w:gridCol w:w="3335"/>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6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33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 Program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Quality Head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2026-01-15</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CSI-SZ-001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CSI-SZ-001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Computerised System Inventory</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