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QCLabOne 2.0 Project Charter</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QCL-2026-CHA-001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Project Initiation</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2026-01-30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QCL-2026-CHA-001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 Initiation</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2026-01-30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Business need</w:t>
      </w:r>
    </w:p>
    <w:p>
      <w:pPr>
        <w:spacing w:after="120" w:line="300" w:lineRule="auto"/>
      </w:pPr>
      <w:r>
        <w:rPr>
          <w:rFonts w:ascii="Calibri" w:hAnsi="Calibri"/>
          <w:b w:val="0"/>
          <w:i w:val="0"/>
          <w:color w:val="000000"/>
          <w:sz w:val="22"/>
        </w:rPr>
        <w:t>The site currently uses Legacy LIMS 6.2, controlled spreadsheets and paper worksheets. Manual transcription, fragmented review evidence, inconsistent audit-trail capability and slow historical retrieval create compliance and operational burden. The project will implement LabSphere LIMS/LES 8.4.2 and retire the legacy platform after archive acceptance.</w:t>
      </w:r>
    </w:p>
    <w:p>
      <w:pPr>
        <w:pStyle w:val="Heading1"/>
      </w:pPr>
      <w:r>
        <w:t>2. Objectives and measurable success criteria</w:t>
      </w:r>
    </w:p>
    <w:tbl>
      <w:tblPr>
        <w:tblStyle w:val="TableGrid"/>
        <w:tblW w:type="dxa" w:w="9360"/>
        <w:tblLayout w:type="fixed"/>
        <w:tblLook w:firstColumn="1" w:firstRow="1" w:lastColumn="0" w:lastRow="0" w:noHBand="0" w:noVBand="1" w:val="04A0"/>
        <w:tblInd w:w="120" w:type="dxa"/>
      </w:tblPr>
      <w:tblGrid>
        <w:gridCol w:w="3941"/>
        <w:gridCol w:w="5419"/>
      </w:tblGrid>
      <w:tr>
        <w:trPr>
          <w:tblHeader w:val="true"/>
        </w:trPr>
        <w:tc>
          <w:tcPr>
            <w:tcW w:type="dxa" w:w="394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Objective</w:t>
            </w:r>
          </w:p>
        </w:tc>
        <w:tc>
          <w:tcPr>
            <w:tcW w:type="dxa" w:w="5419"/>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Success criterion</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Implement the in-scope LIMS/LES platform</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production baseline and VSR by 2027-06-05</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Improve data integrity</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100% of critical result changes audit-trailed; no uncontrolled spreadsheet calculation for final results</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Reduce transcription</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Direct capture for all 6 balances, 4 pH meters, 2 TOC analyzers and approved CDS result transfer</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Assure migration</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100% record-count reconciliation; 100% critical-field checks for active records; attachment hash reconciliation</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Release trained users</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100% of production users complete role training before access</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Control risk at go-live</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 open critical/high validation deviation; all medium residual risks formally accepted</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Retire legacy system</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Archive retrieval acceptance and decommissioning completed by 2028-03-31</w:t>
            </w:r>
          </w:p>
        </w:tc>
      </w:tr>
    </w:tbl>
    <w:p>
      <w:pPr>
        <w:spacing w:after="80"/>
      </w:pPr>
    </w:p>
    <w:p>
      <w:pPr>
        <w:pStyle w:val="Heading1"/>
      </w:pPr>
      <w:r>
        <w:t>3. High-level scope</w:t>
      </w:r>
    </w:p>
    <w:p>
      <w:pPr>
        <w:spacing w:after="120" w:line="300" w:lineRule="auto"/>
      </w:pPr>
      <w:r>
        <w:rPr>
          <w:rFonts w:ascii="Calibri" w:hAnsi="Calibri"/>
          <w:b w:val="0"/>
          <w:i w:val="0"/>
          <w:color w:val="000000"/>
          <w:sz w:val="22"/>
        </w:rPr>
        <w:t>In scope: chemistry, microbiology, stability and environmental-monitoring sample management; LES; specifications; calculations; reporting; interfaces to SAP, eQMS, CDS/SDMS and selected instruments; migration/archive; training; go-live; first-year operation; Legacy LIMS retirement.</w:t>
      </w:r>
    </w:p>
    <w:p>
      <w:pPr>
        <w:spacing w:after="120" w:line="300" w:lineRule="auto"/>
      </w:pPr>
      <w:r>
        <w:rPr>
          <w:rFonts w:ascii="Calibri" w:hAnsi="Calibri"/>
          <w:b w:val="0"/>
          <w:i w:val="0"/>
          <w:color w:val="000000"/>
          <w:sz w:val="22"/>
        </w:rPr>
        <w:t>Out of scope: analytical-method validation, core validation of SAP/eQMS/CDS, replacement of instrument firmware, global rollout and mobile offline execution.</w:t>
      </w:r>
    </w:p>
    <w:p>
      <w:pPr>
        <w:pStyle w:val="Heading1"/>
      </w:pPr>
      <w:r>
        <w:t>4. Budget and resources</w:t>
      </w:r>
    </w:p>
    <w:tbl>
      <w:tblPr>
        <w:tblStyle w:val="TableGrid"/>
        <w:tblW w:type="dxa" w:w="9360"/>
        <w:tblLayout w:type="fixed"/>
        <w:tblLook w:firstColumn="1" w:firstRow="1" w:lastColumn="0" w:lastRow="0" w:noHBand="0" w:noVBand="1" w:val="04A0"/>
        <w:tblInd w:w="120" w:type="dxa"/>
      </w:tblPr>
      <w:tblGrid>
        <w:gridCol w:w="3510"/>
        <w:gridCol w:w="5850"/>
      </w:tblGrid>
      <w:tr>
        <w:trPr>
          <w:tblHeader w:val="true"/>
        </w:trPr>
        <w:tc>
          <w:tcPr>
            <w:tcW w:type="dxa" w:w="351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Item</w:t>
            </w:r>
          </w:p>
        </w:tc>
        <w:tc>
          <w:tcPr>
            <w:tcW w:type="dxa" w:w="585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Approved case value</w:t>
            </w:r>
          </w:p>
        </w:tc>
      </w:tr>
      <w:tr>
        <w:tc>
          <w:tcPr>
            <w:tcW w:type="dxa" w:w="35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Capital and implementation budget</w:t>
            </w:r>
          </w:p>
        </w:tc>
        <w:tc>
          <w:tcPr>
            <w:tcW w:type="dxa" w:w="585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CNY 12.8 million</w:t>
            </w:r>
          </w:p>
        </w:tc>
      </w:tr>
      <w:tr>
        <w:tc>
          <w:tcPr>
            <w:tcW w:type="dxa" w:w="35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Internal project effort</w:t>
            </w:r>
          </w:p>
        </w:tc>
        <w:tc>
          <w:tcPr>
            <w:tcW w:type="dxa" w:w="585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18 core FTE equivalents across 24 months</w:t>
            </w:r>
          </w:p>
        </w:tc>
      </w:tr>
      <w:tr>
        <w:tc>
          <w:tcPr>
            <w:tcW w:type="dxa" w:w="35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services</w:t>
            </w:r>
          </w:p>
        </w:tc>
        <w:tc>
          <w:tcPr>
            <w:tcW w:type="dxa" w:w="585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Configuration, integrations, migration tooling, validation evidence and hypercare</w:t>
            </w:r>
          </w:p>
        </w:tc>
      </w:tr>
      <w:tr>
        <w:tc>
          <w:tcPr>
            <w:tcW w:type="dxa" w:w="35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Contingency</w:t>
            </w:r>
          </w:p>
        </w:tc>
        <w:tc>
          <w:tcPr>
            <w:tcW w:type="dxa" w:w="585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 of approved implementation budget</w:t>
            </w:r>
          </w:p>
        </w:tc>
      </w:tr>
    </w:tbl>
    <w:p>
      <w:pPr>
        <w:spacing w:after="80"/>
      </w:pPr>
    </w:p>
    <w:p>
      <w:pPr>
        <w:pStyle w:val="Heading1"/>
      </w:pPr>
      <w:r>
        <w:t>5. Milestones</w:t>
      </w:r>
    </w:p>
    <w:tbl>
      <w:tblPr>
        <w:tblStyle w:val="TableGrid"/>
        <w:tblW w:type="dxa" w:w="9360"/>
        <w:tblLayout w:type="fixed"/>
        <w:tblLook w:firstColumn="1" w:firstRow="1" w:lastColumn="0" w:lastRow="0" w:noHBand="0" w:noVBand="1" w:val="04A0"/>
        <w:tblInd w:w="120" w:type="dxa"/>
      </w:tblPr>
      <w:tblGrid>
        <w:gridCol w:w="6240"/>
        <w:gridCol w:w="3120"/>
      </w:tblGrid>
      <w:tr>
        <w:trPr>
          <w:tblHeader w:val="true"/>
        </w:trPr>
        <w:tc>
          <w:tcPr>
            <w:tcW w:type="dxa" w:w="624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Milestone</w:t>
            </w:r>
          </w:p>
        </w:tc>
        <w:tc>
          <w:tcPr>
            <w:tcW w:type="dxa" w:w="3120"/>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Target date</w:t>
            </w:r>
          </w:p>
        </w:tc>
      </w:tr>
      <w:tr>
        <w:tc>
          <w:tcPr>
            <w:tcW w:type="dxa" w:w="624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 charter approved</w:t>
            </w:r>
          </w:p>
        </w:tc>
        <w:tc>
          <w:tcPr>
            <w:tcW w:type="dxa" w:w="3120"/>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2026-01-30</w:t>
            </w:r>
          </w:p>
        </w:tc>
      </w:tr>
      <w:tr>
        <w:tc>
          <w:tcPr>
            <w:tcW w:type="dxa" w:w="624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contract and qualification complete</w:t>
            </w:r>
          </w:p>
        </w:tc>
        <w:tc>
          <w:tcPr>
            <w:tcW w:type="dxa" w:w="3120"/>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2026-04-30</w:t>
            </w:r>
          </w:p>
        </w:tc>
      </w:tr>
      <w:tr>
        <w:tc>
          <w:tcPr>
            <w:tcW w:type="dxa" w:w="624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URS approved</w:t>
            </w:r>
          </w:p>
        </w:tc>
        <w:tc>
          <w:tcPr>
            <w:tcW w:type="dxa" w:w="3120"/>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2026-06-30</w:t>
            </w:r>
          </w:p>
        </w:tc>
      </w:tr>
      <w:tr>
        <w:tc>
          <w:tcPr>
            <w:tcW w:type="dxa" w:w="624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Design/configuration baseline approved</w:t>
            </w:r>
          </w:p>
        </w:tc>
        <w:tc>
          <w:tcPr>
            <w:tcW w:type="dxa" w:w="3120"/>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2026-10-31</w:t>
            </w:r>
          </w:p>
        </w:tc>
      </w:tr>
      <w:tr>
        <w:tc>
          <w:tcPr>
            <w:tcW w:type="dxa" w:w="624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FAT complete</w:t>
            </w:r>
          </w:p>
        </w:tc>
        <w:tc>
          <w:tcPr>
            <w:tcW w:type="dxa" w:w="3120"/>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2027-01-25</w:t>
            </w:r>
          </w:p>
        </w:tc>
      </w:tr>
      <w:tr>
        <w:tc>
          <w:tcPr>
            <w:tcW w:type="dxa" w:w="624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IQ/OQ/PQ complete</w:t>
            </w:r>
          </w:p>
        </w:tc>
        <w:tc>
          <w:tcPr>
            <w:tcW w:type="dxa" w:w="3120"/>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2027-04-30</w:t>
            </w:r>
          </w:p>
        </w:tc>
      </w:tr>
      <w:tr>
        <w:tc>
          <w:tcPr>
            <w:tcW w:type="dxa" w:w="624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summary approved</w:t>
            </w:r>
          </w:p>
        </w:tc>
        <w:tc>
          <w:tcPr>
            <w:tcW w:type="dxa" w:w="3120"/>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2027-06-05</w:t>
            </w:r>
          </w:p>
        </w:tc>
      </w:tr>
      <w:tr>
        <w:tc>
          <w:tcPr>
            <w:tcW w:type="dxa" w:w="624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Production go-live</w:t>
            </w:r>
          </w:p>
        </w:tc>
        <w:tc>
          <w:tcPr>
            <w:tcW w:type="dxa" w:w="3120"/>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2027-06-15</w:t>
            </w:r>
          </w:p>
        </w:tc>
      </w:tr>
      <w:tr>
        <w:tc>
          <w:tcPr>
            <w:tcW w:type="dxa" w:w="624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retired</w:t>
            </w:r>
          </w:p>
        </w:tc>
        <w:tc>
          <w:tcPr>
            <w:tcW w:type="dxa" w:w="3120"/>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2028-03-31</w:t>
            </w:r>
          </w:p>
        </w:tc>
      </w:tr>
    </w:tbl>
    <w:p>
      <w:pPr>
        <w:spacing w:after="80"/>
      </w:pPr>
    </w:p>
    <w:p>
      <w:pPr>
        <w:pStyle w:val="Heading1"/>
      </w:pPr>
      <w:r>
        <w:t>6. Principal risks</w:t>
      </w:r>
    </w:p>
    <w:tbl>
      <w:tblPr>
        <w:tblStyle w:val="TableGrid"/>
        <w:tblW w:type="dxa" w:w="9360"/>
        <w:tblLayout w:type="fixed"/>
        <w:tblLook w:firstColumn="1" w:firstRow="1" w:lastColumn="0" w:lastRow="0" w:noHBand="0" w:noVBand="1" w:val="04A0"/>
        <w:tblInd w:w="120" w:type="dxa"/>
      </w:tblPr>
      <w:tblGrid>
        <w:gridCol w:w="2109"/>
        <w:gridCol w:w="7251"/>
      </w:tblGrid>
      <w:tr>
        <w:trPr>
          <w:tblHeader w:val="true"/>
        </w:trPr>
        <w:tc>
          <w:tcPr>
            <w:tcW w:type="dxa" w:w="2109"/>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Risk</w:t>
            </w:r>
          </w:p>
        </w:tc>
        <w:tc>
          <w:tcPr>
            <w:tcW w:type="dxa" w:w="72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Initial response</w:t>
            </w:r>
          </w:p>
        </w:tc>
      </w:tr>
      <w:tr>
        <w:tc>
          <w:tcPr>
            <w:tcW w:type="dxa" w:w="2109"/>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Legacy data mapping complexity</w:t>
            </w:r>
          </w:p>
        </w:tc>
        <w:tc>
          <w:tcPr>
            <w:tcW w:type="dxa" w:w="72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Profile early; execute two trial migrations and maintain an exception log</w:t>
            </w:r>
          </w:p>
        </w:tc>
      </w:tr>
      <w:tr>
        <w:tc>
          <w:tcPr>
            <w:tcW w:type="dxa" w:w="2109"/>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Instrument integration delay</w:t>
            </w:r>
          </w:p>
        </w:tc>
        <w:tc>
          <w:tcPr>
            <w:tcW w:type="dxa" w:w="72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Prioritise direct-capture instruments; retain controlled contingency process</w:t>
            </w:r>
          </w:p>
        </w:tc>
      </w:tr>
      <w:tr>
        <w:tc>
          <w:tcPr>
            <w:tcW w:type="dxa" w:w="2109"/>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Audit-trail configuration gap</w:t>
            </w:r>
          </w:p>
        </w:tc>
        <w:tc>
          <w:tcPr>
            <w:tcW w:type="dxa" w:w="72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 dedicated specification and execute challenge tests</w:t>
            </w:r>
          </w:p>
        </w:tc>
      </w:tr>
      <w:tr>
        <w:tc>
          <w:tcPr>
            <w:tcW w:type="dxa" w:w="2109"/>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Supplier cloud change</w:t>
            </w:r>
          </w:p>
        </w:tc>
        <w:tc>
          <w:tcPr>
            <w:tcW w:type="dxa" w:w="72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Quality agreement requires notice and impact assessment</w:t>
            </w:r>
          </w:p>
        </w:tc>
      </w:tr>
      <w:tr>
        <w:tc>
          <w:tcPr>
            <w:tcW w:type="dxa" w:w="2109"/>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User readiness</w:t>
            </w:r>
          </w:p>
        </w:tc>
        <w:tc>
          <w:tcPr>
            <w:tcW w:type="dxa" w:w="72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Role-based training, UAT and floor support during hypercare</w:t>
            </w:r>
          </w:p>
        </w:tc>
      </w:tr>
    </w:tbl>
    <w:p>
      <w:pPr>
        <w:spacing w:after="80"/>
      </w:pPr>
    </w:p>
    <w:p>
      <w:pPr>
        <w:pStyle w:val="Heading1"/>
      </w:pPr>
      <w:r>
        <w:t>7. Governance and authority</w:t>
      </w:r>
    </w:p>
    <w:p>
      <w:pPr>
        <w:spacing w:after="120" w:line="300" w:lineRule="auto"/>
      </w:pPr>
      <w:r>
        <w:rPr>
          <w:rFonts w:ascii="Calibri" w:hAnsi="Calibri"/>
          <w:b w:val="0"/>
          <w:i w:val="0"/>
          <w:color w:val="000000"/>
          <w:sz w:val="22"/>
        </w:rPr>
        <w:t>The Project Sponsor authorises funding. The Steering Committee resolves schedule or scope conflicts. The BPO accepts business process suitability. QA independently accepts validation conclusions. The charter does not authorise production use.</w:t>
      </w:r>
    </w:p>
    <w:p>
      <w:pPr>
        <w:pStyle w:val="Heading1"/>
      </w:pPr>
      <w:r>
        <w:t>8.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VMP-SZ-001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Validation Master Plan](002_Validation_Master_Plan.md)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CSI-SZ-001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Computerised System Inventory](003_Computerised_System_Inventory.md)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QCL-2026-RACI-001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CSV RACI and Responsibilities Matrix](004_CSV_RACI_and_Responsibilities_Matrix.md)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QCL-2026-SCP-001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Project Scope Statement](006_Project_Scope_Statement.md)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QCL-2026-IUS-001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Intended Use Statement](007_Intended_Use_Statement.md)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QCL-2026-BPD-001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Business Process Description](008_Business_Process_Description.md)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QCL-2026-GXP-001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GxP Impact Assessment](009_GxP_Impact_Assessment.md)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Project Validation Plan](015_Project_Validation_Plan.md)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160"/>
        <w:gridCol w:w="3038"/>
        <w:gridCol w:w="3162"/>
      </w:tblGrid>
      <w:tr>
        <w:trPr>
          <w:tblHeader w:val="true"/>
        </w:trPr>
        <w:tc>
          <w:tcPr>
            <w:tcW w:type="dxa" w:w="316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3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16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Project Manager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Business Process Owner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 Sponsor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2026-01-30</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QCL-2026-CHA-001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QCL-2026-CHA-001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QCLabOne 2.0 Project Charter</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