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Project Scope Statement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Initiation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Initiation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fixes the system and project boundaries used by all downstream requirements, risk, design, testing and supplier records.</w:t>
      </w:r>
    </w:p>
    <w:p>
      <w:pPr>
        <w:pStyle w:val="Heading1"/>
      </w:pPr>
      <w:r>
        <w:t>2. In-scope business processes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76"/>
        <w:gridCol w:w="7684"/>
      </w:tblGrid>
      <w:tr>
        <w:trPr>
          <w:tblHeader w:val="true"/>
        </w:trPr>
        <w:tc>
          <w:tcPr>
            <w:tcW w:type="dxa" w:w="16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76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Included scope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Chemistry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Raw material, in-process, finished-product and stability sample testing; calculations; review and approval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Microbiology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Environmental monitoring, bioburden, microbial limits, incubation tracking and result approval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Stability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Protocol, pull scheduling, sample assignment, result review and trend reporting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 case linkage, audit-trail oversight, release and validation approvals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Identity, connectivity, interface gateway, monitoring, backup, restore, security and DR</w:t>
            </w:r>
          </w:p>
        </w:tc>
      </w:tr>
    </w:tbl>
    <w:p>
      <w:pPr>
        <w:spacing w:after="80"/>
      </w:pPr>
    </w:p>
    <w:p>
      <w:pPr>
        <w:pStyle w:val="Heading1"/>
      </w:pPr>
      <w:r>
        <w:t>3. In-scope modules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Sample Management; Specification and Method Management; LES; Calculation Engine; Stability; Microbiology/EM; Reagent and Reference Standard Management; Reporting; Audit Trail; Electronic Signature; Role/Access Administration; Interface Monitoring; Archive Export.</w:t>
      </w:r>
    </w:p>
    <w:p>
      <w:pPr>
        <w:pStyle w:val="Heading1"/>
      </w:pPr>
      <w:r>
        <w:t>4. In-scope interfaces and devices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97"/>
        <w:gridCol w:w="2176"/>
        <w:gridCol w:w="2993"/>
        <w:gridCol w:w="2994"/>
      </w:tblGrid>
      <w:tr>
        <w:trPr>
          <w:tblHeader w:val="true"/>
        </w:trPr>
        <w:tc>
          <w:tcPr>
            <w:tcW w:type="dxa" w:w="11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Boundary ID</w:t>
            </w:r>
          </w:p>
        </w:tc>
        <w:tc>
          <w:tcPr>
            <w:tcW w:type="dxa" w:w="21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Source → destination</w:t>
            </w:r>
          </w:p>
        </w:tc>
        <w:tc>
          <w:tcPr>
            <w:tcW w:type="dxa" w:w="299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Data/operation</w:t>
            </w:r>
          </w:p>
        </w:tc>
        <w:tc>
          <w:tcPr>
            <w:tcW w:type="dxa" w:w="29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Scope decision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IF-01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→ QCLabOne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Material, batch, sample request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and mapping in scope; SAP core validation out of scope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IF-02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→ SAP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Inspection status and approved disposition/result summary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in scope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IF-03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↔ eQMS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OOS/OOT case; receive case ID/status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CAPA creation is not part of this interface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IF-04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CDS/SDMS → QCLabOne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numeric result, unit, sequence ID, method version, source link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CDS remains official source for chromatographic raw data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IF-05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Balances/pH/TOC → QCLabOne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Measured value, unit, device ID, timestamp, status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 devices listed in the Interface Specification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IF-06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Corporate Identity → QCLabOne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Authentication and group claims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 infrastructure qualification leveraged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IF-07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→ ArchiveVault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Closed record package and legacy archive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qualification and retrieval in scope</w:t>
            </w:r>
          </w:p>
        </w:tc>
      </w:tr>
    </w:tbl>
    <w:p>
      <w:pPr>
        <w:spacing w:after="80"/>
      </w:pPr>
    </w:p>
    <w:p>
      <w:pPr>
        <w:pStyle w:val="Heading1"/>
      </w:pPr>
      <w:r>
        <w:t>5. Data scope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Migrate 86,742 Legacy LIMS sample records, 326,115 result records, 24,806 attachments and 1,984 active stability-pull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Archive all pre-2018 Legacy LIMS data and associated audit trails/attachments in read-only form.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Migrate active stability, reagent/reference-standard and EM schedule registers from approved spreadsheets.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Paper worksheets are not bulk digitised; an indexed image set is created only for records identified in the approved archive list.</w:t>
      </w:r>
    </w:p>
    <w:p>
      <w:pPr>
        <w:pStyle w:val="Heading1"/>
      </w:pPr>
      <w:r>
        <w:t>6. Out of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Analytical method validation; method transfer; core SAP/eQMS/CDS revalidation; replacement of laboratory instrument firmware; global multi-site rollout; mobile offline execution; product batch release decision in SAP; CAPA workflow design in eQMS.</w:t>
      </w:r>
    </w:p>
    <w:p>
      <w:pPr>
        <w:pStyle w:val="Heading1"/>
      </w:pPr>
      <w:r>
        <w:t>7. Assumptions and constraints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Production is a dedicated vendor tenant in China East; no personal health data is stored.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The site retains ownership of all GxP data and can obtain a complete export.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Supplier standard product code is not modified; only approved interfaces and report templates are custom developed.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Legacy LIMS remains read-only and backed up until retirement approval.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Any proposed scope change requires change control and impact assessment.</w:t>
      </w:r>
    </w:p>
    <w:p>
      <w:pPr>
        <w:pStyle w:val="Heading1"/>
      </w:pPr>
      <w:r>
        <w:t>8.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QCL-2026-CHA-001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Charter](005_Project_Charter.md)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Business Process Description](008_Business_Process_Description.md)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GxP Impact Assessment](009_GxP_Impact_Assessment.md)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Project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Sponsor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QCL-2026-SCP-001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QCL-2026-SCP-001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Project Scope Statement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