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Business Process Description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Initiation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Initiation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describes the current and future QC process and identifies the business/data control points used in requirements, risk assessment, configuration and testing.</w:t>
      </w:r>
    </w:p>
    <w:p>
      <w:pPr>
        <w:pStyle w:val="Heading1"/>
      </w:pPr>
      <w:r>
        <w:t>2. Current state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Legacy LIMS 6.2 manages sample login and selected results; CDS/SDMS stores chromatographic source data; spreadsheets track stability pulls and selected inventories; paper worksheets support wet-chemistry execution. Reviewers assemble evidence across repositories, and selected values are manually transcribed.</w:t>
      </w:r>
    </w:p>
    <w:p>
      <w:pPr>
        <w:pStyle w:val="Heading1"/>
      </w:pPr>
      <w:r>
        <w:t>3. Future-state process</w:t>
      </w:r>
    </w:p>
    <w:p>
      <w:pPr>
        <w:spacing w:after="40"/>
      </w:pPr>
      <w:r>
        <w:rPr>
          <w:rFonts w:ascii="Calibri" w:hAnsi="Calibri"/>
          <w:b/>
          <w:color w:val="595959"/>
          <w:sz w:val="18"/>
        </w:rPr>
        <w:t>Diagram source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00000"/>
                <w:sz w:val="17"/>
              </w:rPr>
            </w:r>
            <w:r>
              <w:rPr>
                <w:rFonts w:ascii="Consolas" w:hAnsi="Consolas"/>
                <w:b w:val="0"/>
                <w:color w:val="000000"/>
                <w:sz w:val="17"/>
              </w:rPr>
              <w:t>flowchart TD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A[SAP creates sample request] --&gt; B[QCLabOne validates message and creates sample]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B --&gt; C[QC receives, labels and records condition]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C --&gt; D[Effective specification assigns tests]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D --&gt; E[Supervisor assigns qualified analyst]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E --&gt; F[Analyst executes approved LES]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F --&gt; G{Data source}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G --&gt;|Balance/pH/TOC| H[Direct instrument capture]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G --&gt;|Chromatography| I[Approved CDS result and source link]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G --&gt;|Allowed manual entry| J[Reason and independent verification]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H --&gt; K[Controlled calculation and limit evaluation]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I --&gt; 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J --&gt; 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K --&gt; L{Within specification?}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 --&gt;|No/OOT| M[Create eQMS case and link status]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 --&gt;|Yes| N[Analyst e-signs submission]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M --&gt; 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N --&gt; O[Independent review incl. audit trail]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O --&gt; P[Supervisor/QA approval]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P --&gt; Q[Return QC status to SAP]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Q --&gt; R[Retain or archive record package]</w:t>
            </w:r>
          </w:p>
        </w:tc>
      </w:tr>
    </w:tbl>
    <w:p>
      <w:pPr>
        <w:pStyle w:val="Heading1"/>
      </w:pPr>
      <w:r>
        <w:t>4. Normal process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41"/>
        <w:gridCol w:w="2734"/>
        <w:gridCol w:w="5785"/>
      </w:tblGrid>
      <w:tr>
        <w:trPr>
          <w:tblHeader w:val="true"/>
        </w:trPr>
        <w:tc>
          <w:tcPr>
            <w:tcW w:type="dxa" w:w="8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73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Activity</w:t>
            </w:r>
          </w:p>
        </w:tc>
        <w:tc>
          <w:tcPr>
            <w:tcW w:type="dxa" w:w="57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Primary control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Receive SAP request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Schema validation, unique message ID, duplicate prevention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Generate sample/barcode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Non-reusable identity and verified print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Receive and custody sample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User/time/location/condition/quantity and exception reason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 tests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Only effective approved specification/method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 analyst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and qualification check; qualification status maintained in LIMS master data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Execute LES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version, mandatory steps, direct capture and audit trail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Calculate/evaluate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formula, units, rounding and limits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Investigate exception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eQMS case creation, case link and workflow hold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Submit/review/approve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Unique e-signatures, segregation and audit-trail review</w:t>
            </w:r>
          </w:p>
        </w:tc>
      </w:tr>
      <w:tr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Return status/archive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Acknowledged SAP message and retention-controlled record package</w:t>
            </w:r>
          </w:p>
        </w:tc>
      </w:tr>
    </w:tbl>
    <w:p>
      <w:pPr>
        <w:spacing w:after="80"/>
      </w:pPr>
    </w:p>
    <w:p>
      <w:pPr>
        <w:pStyle w:val="Heading1"/>
      </w:pPr>
      <w:r>
        <w:t>5. Exception processes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25"/>
        <w:gridCol w:w="6435"/>
      </w:tblGrid>
      <w:tr>
        <w:trPr>
          <w:tblHeader w:val="true"/>
        </w:trPr>
        <w:tc>
          <w:tcPr>
            <w:tcW w:type="dxa" w:w="292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Exception</w:t>
            </w:r>
          </w:p>
        </w:tc>
        <w:tc>
          <w:tcPr>
            <w:tcW w:type="dxa" w:w="64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Required flow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 rejected/damaged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condition and reason; notify requestor; cancel/re-sample under approval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outage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 approved contingency form; independent check; reconcile and mark manual entry after restoration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 message error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Hold in exception queue; investigate source/unit/context; authorised reprocess only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Place result/sample on hold; create one eQMS case; retain original data; follow investigation SOP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Repeat/retest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Retain original attempt; document authorisation and scientific rationale; no overwriting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Post-signature correction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Invalidate affected approval, capture reason/audit trail and re-route review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 change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Effective-date future use; completed records retain historical version</w:t>
            </w:r>
          </w:p>
        </w:tc>
      </w:tr>
      <w:tr>
        <w:tc>
          <w:tcPr>
            <w:tcW w:type="dxa" w:w="29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retrieval failure</w:t>
            </w:r>
          </w:p>
        </w:tc>
        <w:tc>
          <w:tcPr>
            <w:tcW w:type="dxa" w:w="6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incident; use redundant archive copy; assess batch/inspection impact</w:t>
            </w:r>
          </w:p>
        </w:tc>
      </w:tr>
    </w:tbl>
    <w:p>
      <w:pPr>
        <w:spacing w:after="80"/>
      </w:pPr>
    </w:p>
    <w:p>
      <w:pPr>
        <w:pStyle w:val="Heading1"/>
      </w:pPr>
      <w:r>
        <w:t>6. Data-integrity control points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Critical controls include unique identity, contemporaneous timestamps, source metadata, immutable history, reason for change, independent review, electronic-signature binding, exception queues, reconciliation and long-term availability.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QCL-2026-CHA-001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Charter](005_Project_Charter.md)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Scope Statement](006_Project_Scope_Statement.md)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Project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Sponsor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QCL-2026-BPD-001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QCL-2026-BPD-001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Business Process Description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