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GxP Impact Assessment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QCL-2026-GXP-001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Risk and Compliance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2026-03-20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QCL-2026-GXP-001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Risk and Compliance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2026-03-20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Assessment question and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Question: Does failure or misuse of QCLabOne 2.0 affect patient safety, product quality, GMP decisions or the integrity/availability of regulated records?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Conclusion: Yes. The system has High GxP impact because it creates and approves QC records, performs calculations and limit evaluation, supports material/batch disposition, applies electronic signatures and retains data required for inspection.</w:t>
      </w:r>
    </w:p>
    <w:p>
      <w:pPr>
        <w:pStyle w:val="Heading1"/>
      </w:pPr>
      <w:r>
        <w:t>2. GxP impact screening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58"/>
        <w:gridCol w:w="1021"/>
        <w:gridCol w:w="4681"/>
      </w:tblGrid>
      <w:tr>
        <w:trPr>
          <w:tblHeader w:val="true"/>
        </w:trPr>
        <w:tc>
          <w:tcPr>
            <w:tcW w:type="dxa" w:w="365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Assessment criterion</w:t>
            </w:r>
          </w:p>
        </w:tc>
        <w:tc>
          <w:tcPr>
            <w:tcW w:type="dxa" w:w="102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Answer</w:t>
            </w:r>
          </w:p>
        </w:tc>
        <w:tc>
          <w:tcPr>
            <w:tcW w:type="dxa" w:w="468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Rationale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Creates or modifies GMP records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Sample, test, result, calculation, review, signature and audit records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Performs calculation or acceptance decision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Formula, rounding and specification evaluation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Supports material or batch disposition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QC status/result is returned to SAP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Controls regulated workflow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Assignment, execution, OOS hold, review and approval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Stores required electronic records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Active records and audit trails; archive export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Uses electronic signatures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Submission, review and approval signatures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Exchanges GxP data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SAP, eQMS, CDS/SDMS and instruments</w:t>
            </w:r>
          </w:p>
        </w:tc>
      </w:tr>
      <w:tr>
        <w:tc>
          <w:tcPr>
            <w:tcW w:type="dxa" w:w="36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Failure could delay operations only</w:t>
            </w:r>
          </w:p>
        </w:tc>
        <w:tc>
          <w:tcPr>
            <w:tcW w:type="dxa" w:w="1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</w:t>
            </w:r>
          </w:p>
        </w:tc>
        <w:tc>
          <w:tcPr>
            <w:tcW w:type="dxa" w:w="46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Certain failures could also produce an incorrect quality decision or unavailable evidence</w:t>
            </w:r>
          </w:p>
        </w:tc>
      </w:tr>
    </w:tbl>
    <w:p>
      <w:pPr>
        <w:spacing w:after="80"/>
      </w:pPr>
    </w:p>
    <w:p>
      <w:pPr>
        <w:pStyle w:val="Heading1"/>
      </w:pPr>
      <w:r>
        <w:t>3. Component impact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951"/>
        <w:gridCol w:w="1770"/>
        <w:gridCol w:w="4639"/>
      </w:tblGrid>
      <w:tr>
        <w:trPr>
          <w:tblHeader w:val="true"/>
        </w:trPr>
        <w:tc>
          <w:tcPr>
            <w:tcW w:type="dxa" w:w="29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Component</w:t>
            </w:r>
          </w:p>
        </w:tc>
        <w:tc>
          <w:tcPr>
            <w:tcW w:type="dxa" w:w="177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Impact</w:t>
            </w:r>
          </w:p>
        </w:tc>
        <w:tc>
          <w:tcPr>
            <w:tcW w:type="dxa" w:w="463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Decision</w:t>
            </w:r>
          </w:p>
        </w:tc>
      </w:tr>
      <w:tr>
        <w:tc>
          <w:tcPr>
            <w:tcW w:type="dxa" w:w="29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LIMS/LES application</w:t>
            </w:r>
          </w:p>
        </w:tc>
        <w:tc>
          <w:tcPr>
            <w:tcW w:type="dxa" w:w="17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Direct</w:t>
            </w:r>
          </w:p>
        </w:tc>
        <w:tc>
          <w:tcPr>
            <w:tcW w:type="dxa" w:w="46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Full lifecycle validation</w:t>
            </w:r>
          </w:p>
        </w:tc>
      </w:tr>
      <w:tr>
        <w:tc>
          <w:tcPr>
            <w:tcW w:type="dxa" w:w="29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gateway/custom interfaces</w:t>
            </w:r>
          </w:p>
        </w:tc>
        <w:tc>
          <w:tcPr>
            <w:tcW w:type="dxa" w:w="17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Direct</w:t>
            </w:r>
          </w:p>
        </w:tc>
        <w:tc>
          <w:tcPr>
            <w:tcW w:type="dxa" w:w="46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Specification, code control and verification</w:t>
            </w:r>
          </w:p>
        </w:tc>
      </w:tr>
      <w:tr>
        <w:tc>
          <w:tcPr>
            <w:tcW w:type="dxa" w:w="29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Cloud infrastructure/database</w:t>
            </w:r>
          </w:p>
        </w:tc>
        <w:tc>
          <w:tcPr>
            <w:tcW w:type="dxa" w:w="17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Indirect but critical</w:t>
            </w:r>
          </w:p>
        </w:tc>
        <w:tc>
          <w:tcPr>
            <w:tcW w:type="dxa" w:w="46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qualification and infrastructure qualification evidence</w:t>
            </w:r>
          </w:p>
        </w:tc>
      </w:tr>
      <w:tr>
        <w:tc>
          <w:tcPr>
            <w:tcW w:type="dxa" w:w="29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Identity service</w:t>
            </w:r>
          </w:p>
        </w:tc>
        <w:tc>
          <w:tcPr>
            <w:tcW w:type="dxa" w:w="17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Indirect but critical</w:t>
            </w:r>
          </w:p>
        </w:tc>
        <w:tc>
          <w:tcPr>
            <w:tcW w:type="dxa" w:w="46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Qualified service plus access/security verification</w:t>
            </w:r>
          </w:p>
        </w:tc>
      </w:tr>
      <w:tr>
        <w:tc>
          <w:tcPr>
            <w:tcW w:type="dxa" w:w="29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and archive</w:t>
            </w:r>
          </w:p>
        </w:tc>
        <w:tc>
          <w:tcPr>
            <w:tcW w:type="dxa" w:w="17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Indirect but critical</w:t>
            </w:r>
          </w:p>
        </w:tc>
        <w:tc>
          <w:tcPr>
            <w:tcW w:type="dxa" w:w="46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Qualification, restore and retrievability testing</w:t>
            </w:r>
          </w:p>
        </w:tc>
      </w:tr>
      <w:tr>
        <w:tc>
          <w:tcPr>
            <w:tcW w:type="dxa" w:w="29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Barcode peripherals</w:t>
            </w:r>
          </w:p>
        </w:tc>
        <w:tc>
          <w:tcPr>
            <w:tcW w:type="dxa" w:w="17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Supporting</w:t>
            </w:r>
          </w:p>
        </w:tc>
        <w:tc>
          <w:tcPr>
            <w:tcW w:type="dxa" w:w="46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Installation and functional verification</w:t>
            </w:r>
          </w:p>
        </w:tc>
      </w:tr>
    </w:tbl>
    <w:p>
      <w:pPr>
        <w:spacing w:after="80"/>
      </w:pPr>
    </w:p>
    <w:p>
      <w:pPr>
        <w:pStyle w:val="Heading1"/>
      </w:pPr>
      <w:r>
        <w:t>4. Required controls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URS, risk assessment, supplier qualification, design/configuration, traceability, IQ/OQ/PQ, interface/migration/security/audit/e-signature/backup tests, VSR, SOP/training, operational review and controlled retirement are required.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Computerised System Inventory](003_Computerised_System_Inventory.md)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Scope Statement](006_Project_Scope_Statement.md)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QCL-2026-IUS-001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Intended Use Statement](007_Intended_Use_Statement.md)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QCL-2026-BPD-001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Business Process Description](008_Business_Process_Description.md)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Classification and Criticality Assessment](010_System_Classification_and_Criticality_Assessment.md)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[Preliminary Risk Assessment](011_Preliminary_Risk_Assessment.md)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Validation Plan](015_Project_Validation_Plan.md)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CSV/Quality Risk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2026-03-20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QCL-2026-GXP-001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QCL-2026-GXP-001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GxP Impact Assessment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