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System Classification and Criticality Assessment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QCL-2026-CLA-001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Risk and Compliance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2026-03-20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QCL-2026-CLA-001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Risk and Compliance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2026-03-20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Classification method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Components are classified by their role and complexity. Industry categories are used as a planning aid, not as a substitute for GxP risk assessment.</w:t>
      </w:r>
    </w:p>
    <w:p>
      <w:pPr>
        <w:pStyle w:val="Heading1"/>
      </w:pPr>
      <w:r>
        <w:t>2. Classification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3"/>
        <w:gridCol w:w="1629"/>
        <w:gridCol w:w="2561"/>
        <w:gridCol w:w="1024"/>
        <w:gridCol w:w="2563"/>
      </w:tblGrid>
      <w:tr>
        <w:trPr>
          <w:tblHeader w:val="true"/>
        </w:trPr>
        <w:tc>
          <w:tcPr>
            <w:tcW w:type="dxa" w:w="158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Component</w:t>
            </w:r>
          </w:p>
        </w:tc>
        <w:tc>
          <w:tcPr>
            <w:tcW w:type="dxa" w:w="162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Classification</w:t>
            </w:r>
          </w:p>
        </w:tc>
        <w:tc>
          <w:tcPr>
            <w:tcW w:type="dxa" w:w="256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Configuration/customisation</w:t>
            </w:r>
          </w:p>
        </w:tc>
        <w:tc>
          <w:tcPr>
            <w:tcW w:type="dxa" w:w="10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Criticality</w:t>
            </w:r>
          </w:p>
        </w:tc>
        <w:tc>
          <w:tcPr>
            <w:tcW w:type="dxa" w:w="256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Validation implication</w:t>
            </w:r>
          </w:p>
        </w:tc>
      </w:tr>
      <w:tr>
        <w:tc>
          <w:tcPr>
            <w:tcW w:type="dxa" w:w="15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LabSphere LIMS/LES 8.4.2</w:t>
            </w:r>
          </w:p>
        </w:tc>
        <w:tc>
          <w:tcPr>
            <w:tcW w:type="dxa" w:w="1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Configurable commercial application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Extensive workflow, master data, reports and security configuration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High</w:t>
            </w:r>
          </w:p>
        </w:tc>
        <w:tc>
          <w:tcPr>
            <w:tcW w:type="dxa" w:w="25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URS, configuration specification, risk-based OQ/PQ and traceability</w:t>
            </w:r>
          </w:p>
        </w:tc>
      </w:tr>
      <w:tr>
        <w:tc>
          <w:tcPr>
            <w:tcW w:type="dxa" w:w="15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QCL-IGW-01 OS/runtime</w:t>
            </w:r>
          </w:p>
        </w:tc>
        <w:tc>
          <w:tcPr>
            <w:tcW w:type="dxa" w:w="1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Infrastructure software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Standard hardened configuration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High supporting</w:t>
            </w:r>
          </w:p>
        </w:tc>
        <w:tc>
          <w:tcPr>
            <w:tcW w:type="dxa" w:w="25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Installation qualification and operational monitoring</w:t>
            </w:r>
          </w:p>
        </w:tc>
      </w:tr>
      <w:tr>
        <w:tc>
          <w:tcPr>
            <w:tcW w:type="dxa" w:w="15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SAP/eQMS/CDS connectors</w:t>
            </w:r>
          </w:p>
        </w:tc>
        <w:tc>
          <w:tcPr>
            <w:tcW w:type="dxa" w:w="1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Custom software/integration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Custom mappings, transformations and retry logic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High</w:t>
            </w:r>
          </w:p>
        </w:tc>
        <w:tc>
          <w:tcPr>
            <w:tcW w:type="dxa" w:w="25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Development plan, code review, unit and interface testing</w:t>
            </w:r>
          </w:p>
        </w:tc>
      </w:tr>
      <w:tr>
        <w:tc>
          <w:tcPr>
            <w:tcW w:type="dxa" w:w="15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Report templates/calculation rules</w:t>
            </w:r>
          </w:p>
        </w:tc>
        <w:tc>
          <w:tcPr>
            <w:tcW w:type="dxa" w:w="1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Configured/custom content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Site-specific logic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High</w:t>
            </w:r>
          </w:p>
        </w:tc>
        <w:tc>
          <w:tcPr>
            <w:tcW w:type="dxa" w:w="25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Specification, independent verification and regression</w:t>
            </w:r>
          </w:p>
        </w:tc>
      </w:tr>
      <w:tr>
        <w:tc>
          <w:tcPr>
            <w:tcW w:type="dxa" w:w="15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Barcode printers/scanners</w:t>
            </w:r>
          </w:p>
        </w:tc>
        <w:tc>
          <w:tcPr>
            <w:tcW w:type="dxa" w:w="1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Hardware/peripheral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Standard drivers and device mapping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Medium</w:t>
            </w:r>
          </w:p>
        </w:tc>
        <w:tc>
          <w:tcPr>
            <w:tcW w:type="dxa" w:w="25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Installation and workflow test</w:t>
            </w:r>
          </w:p>
        </w:tc>
      </w:tr>
      <w:tr>
        <w:tc>
          <w:tcPr>
            <w:tcW w:type="dxa" w:w="15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ArchiveVault</w:t>
            </w:r>
          </w:p>
        </w:tc>
        <w:tc>
          <w:tcPr>
            <w:tcW w:type="dxa" w:w="1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Configurable archive service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Retention/index configuration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High</w:t>
            </w:r>
          </w:p>
        </w:tc>
        <w:tc>
          <w:tcPr>
            <w:tcW w:type="dxa" w:w="25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assessment, qualification and retrieval test</w:t>
            </w:r>
          </w:p>
        </w:tc>
      </w:tr>
      <w:tr>
        <w:tc>
          <w:tcPr>
            <w:tcW w:type="dxa" w:w="15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spreadsheets</w:t>
            </w:r>
          </w:p>
        </w:tc>
        <w:tc>
          <w:tcPr>
            <w:tcW w:type="dxa" w:w="1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User-developed applications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Formula/macro dependent by file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Medium/High</w:t>
            </w:r>
          </w:p>
        </w:tc>
        <w:tc>
          <w:tcPr>
            <w:tcW w:type="dxa" w:w="25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Individual assessment, migration or retirement evidence</w:t>
            </w:r>
          </w:p>
        </w:tc>
      </w:tr>
    </w:tbl>
    <w:p>
      <w:pPr>
        <w:spacing w:after="80"/>
      </w:pPr>
    </w:p>
    <w:p>
      <w:pPr>
        <w:pStyle w:val="Heading1"/>
      </w:pPr>
      <w:r>
        <w:t>3. Criticality evaluation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application is business-critical and data-integrity-critical. An incorrect result, limit, signature or interface transfer could support an incorrect disposition. Loss of availability beyond eight hours delays QC release. Loss of historical records impairs inspection and product-quality investigations.</w:t>
      </w:r>
    </w:p>
    <w:p>
      <w:pPr>
        <w:pStyle w:val="Heading1"/>
      </w:pPr>
      <w:r>
        <w:t>4. Validation strategy decision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Use a full risk-based lifecycle. Supplier standard tests may be leveraged for non-site-specific product functions. All site configuration, interfaces, calculations, roles, audit trails, signatures, migration and representative business processes require company-controlled verification.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QCL-2026-IUS-001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Intended Use Statement](007_Intended_Use_Statement.md)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QCL-2026-GXP-001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GxP Impact Assessment](009_GxP_Impact_Assessment.md)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[Preliminary Risk Assessment](011_Preliminary_Risk_Assessment.md)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Validation Plan](015_Project_Validation_Plan.md)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Documentation Leveraging Assessment](021_Supplier_Documentation_Leveraging_Assessment.md)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CSV/Quality Risk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2026-03-20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QCL-2026-CLA-001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QCL-2026-CLA-001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Classification and Criticality Assessment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