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21 CFR Part 11 and EU Annex 11 Assessment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QCL-2026-ERES-001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Risk and Compliance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2026-03-20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QCL-2026-ERES-001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Risk and Compliance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2026-03-20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Scope determination</w:t>
      </w:r>
    </w:p>
    <w:p>
      <w:pPr>
        <w:spacing w:after="120" w:line="300" w:lineRule="auto"/>
      </w:pPr>
      <w:r>
        <w:rPr>
          <w:rFonts w:ascii="Calibri" w:hAnsi="Calibri"/>
          <w:b w:val="0"/>
          <w:i w:val="0"/>
          <w:color w:val="000000"/>
          <w:sz w:val="22"/>
        </w:rPr>
        <w:t>The system creates and maintains electronic GMP records and uses electronic signatures in place of handwritten signatures for submission, review and approval. Part 11 requirements are therefore applicable to the relevant FDA-required records. EU Annex 11 applies to the GMP computerised system and supporting service model.</w:t>
      </w:r>
    </w:p>
    <w:p>
      <w:pPr>
        <w:pStyle w:val="Heading1"/>
      </w:pPr>
      <w:r>
        <w:t>2. Compliance assessment</w:t>
      </w:r>
    </w:p>
    <w:tbl>
      <w:tblPr>
        <w:tblStyle w:val="TableGrid"/>
        <w:tblW w:type="dxa" w:w="9360"/>
        <w:tblLayout w:type="fixed"/>
        <w:tblLook w:firstColumn="1" w:firstRow="1" w:lastColumn="0" w:lastRow="0" w:noHBand="0" w:noVBand="1" w:val="04A0"/>
        <w:tblInd w:w="120" w:type="dxa"/>
      </w:tblPr>
      <w:tblGrid>
        <w:gridCol w:w="1758"/>
        <w:gridCol w:w="2722"/>
        <w:gridCol w:w="3120"/>
        <w:gridCol w:w="1760"/>
      </w:tblGrid>
      <w:tr>
        <w:trPr>
          <w:tblHeader w:val="true"/>
        </w:trPr>
        <w:tc>
          <w:tcPr>
            <w:tcW w:type="dxa" w:w="175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Requirement</w:t>
            </w:r>
          </w:p>
        </w:tc>
        <w:tc>
          <w:tcPr>
            <w:tcW w:type="dxa" w:w="272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Control area</w:t>
            </w:r>
          </w:p>
        </w:tc>
        <w:tc>
          <w:tcPr>
            <w:tcW w:type="dxa" w:w="31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Project evidence</w:t>
            </w:r>
          </w:p>
        </w:tc>
        <w:tc>
          <w:tcPr>
            <w:tcW w:type="dxa" w:w="176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Conclusion</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§11.10(a); Annex 11 §4</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validation</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URS, risk, IQ/OQ/PQ, traceability and VSR</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 after approved VSR</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§11.10(b); Annex 11 §8</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Accurate and complete copies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Controlled PDF/export and archive retrieval testing</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§11.10(c); Annex 11 §17</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Record protection and retention</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Retention/archiving SOP, backup, read-only archive</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§11.10(d)</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Access limitation</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Unique SSO, RBAC, access approval/review</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§11.10(e); Annex 11 §9</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trails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Always-on protected audit trail and review SOP</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 after DEV-001 closure</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§11.10(f)</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Operational checks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Workflow sequence, prerequisites and state controls</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§11.10(g)</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Authority checks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matrix, positive/negative security test</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§11.10(h)</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Device checks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Device identity, unit and context validation</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§11.10(i)</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Training</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training and authorisation before access</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§11.10(j)</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Signature accountability policy</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Electronic-signature policy and user acknowledgement</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§11.10(k)</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documentation control</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eDMS control, versioning and access restriction</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§11.50</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Signature manifestations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Name, date/time and meaning on electronic/printed view</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§11.70</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Signature/record linking</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Binding and post-signature invalidation test</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Part 11 §11.100–300</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signature controls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Unique identity, identity verification, re-authentication, credential controls</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§1</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Risk management</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PRA, DIRA, FRA and residual-risk acceptance</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§2</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Personnel</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RACI, training and access qualification</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§3</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Suppliers/service providers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Assessment, audit, agreement and oversight</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§4.2</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inventory/description</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Inventory, architecture, data flow and interface specs</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§5</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transfer checks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validation and reconciliation</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§6</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Accuracy checks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Manual-entry verification and calculation testing</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§7</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storage</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restore, retention and archive controls</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§10–13</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Change, periodic evaluation, security, incidents</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Operational SOPs and records</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r>
        <w:tc>
          <w:tcPr>
            <w:tcW w:type="dxa" w:w="175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Annex 11 §14–16</w:t>
            </w:r>
          </w:p>
        </w:tc>
        <w:tc>
          <w:tcPr>
            <w:tcW w:type="dxa" w:w="272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E-signature, batch release support, continuity</w:t>
            </w:r>
          </w:p>
        </w:tc>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Signature tests, controlled status return, BCP/DR</w:t>
            </w:r>
          </w:p>
        </w:tc>
        <w:tc>
          <w:tcPr>
            <w:tcW w:type="dxa" w:w="17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Compliant</w:t>
            </w:r>
          </w:p>
        </w:tc>
      </w:tr>
    </w:tbl>
    <w:p>
      <w:pPr>
        <w:spacing w:after="80"/>
      </w:pPr>
    </w:p>
    <w:p>
      <w:pPr>
        <w:pStyle w:val="Heading1"/>
      </w:pPr>
      <w:r>
        <w:t>3. Electronic record list</w:t>
      </w:r>
    </w:p>
    <w:p>
      <w:pPr>
        <w:spacing w:after="120" w:line="300" w:lineRule="auto"/>
      </w:pPr>
      <w:r>
        <w:rPr>
          <w:rFonts w:ascii="Calibri" w:hAnsi="Calibri"/>
          <w:b w:val="0"/>
          <w:i w:val="0"/>
          <w:color w:val="000000"/>
          <w:sz w:val="22"/>
        </w:rPr>
        <w:t>Sample records, LES worksheets, calculated results, review/approval records, audit trails, electronic signatures, controlled reports, migration reconciliation and archive indexes are regulated electronic records. Transient monitoring data that has no GMP decision use is governed by IT retention unless incorporated into an incident or investigation.</w:t>
      </w:r>
    </w:p>
    <w:p>
      <w:pPr>
        <w:pStyle w:val="Heading1"/>
      </w:pPr>
      <w:r>
        <w:t>4. Open items</w:t>
      </w:r>
    </w:p>
    <w:p>
      <w:pPr>
        <w:spacing w:after="120" w:line="300" w:lineRule="auto"/>
      </w:pPr>
      <w:r>
        <w:rPr>
          <w:rFonts w:ascii="Calibri" w:hAnsi="Calibri"/>
          <w:b w:val="0"/>
          <w:i w:val="0"/>
          <w:color w:val="000000"/>
          <w:sz w:val="22"/>
        </w:rPr>
        <w:t>No compliance gap remains after closure of DEV-001. Site-specific legal certification of electronic signatures to FDA, if required by company regulatory policy, is outside this project document and shall be handled by Regulatory Affairs.</w:t>
      </w:r>
    </w:p>
    <w:p>
      <w:pPr>
        <w:pStyle w:val="Heading1"/>
      </w:pPr>
      <w:r>
        <w:t>5.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QCL-2026-IUS-001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Intended Use Statement](007_Intended_Use_Statement.md)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QCL-2026-GXP-001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GxP Impact Assessment](009_GxP_Impact_Assessment.md)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QCL-2026-DIRA-001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Integrity Risk Assessment](012_Data_Integrity_Risk_Assessment.md)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QCL-2026-URS-001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Requirements Specification](022_User_Requirements_Specification.md)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and Access Control Matrix](031_Role_and_Access_Control_Matrix.md)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QCL-2026-ATS-001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Trail Specification](032_Audit_Trail_Specification.md)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QCL-2026-ESS-001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Signature Specification](033_Electronic_Signature_Specification.md)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QCL-2026-ATC-001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Trail Challenge Test Report](054_Audit_Trail_Challenge_Test_Report.md)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QCL-2026-EST-001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Signature Test Report](055_Electronic_Signature_Test_Report.md)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Summary Report](065_Validation_Summary_Report.md)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CSV/Quality Risk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2026-03-20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QCL-2026-ERES-001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QCL-2026-ERES-001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CFR Part 11 and EU Annex 11 Assessment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