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QCLabOne 2.0 Project Validation Plan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QCL-2026-VP-001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Validation Planning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2026-05-15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QCL-2026-VP-001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Validation Planning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2026-05-15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Purpose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This Project Validation Plan defines the prospective, risk-based strategy for implementing and releasing QCLabOne 2.0 LIMS/LES. It is subordinate to the site CSV procedure and VMP.</w:t>
      </w:r>
    </w:p>
    <w:p>
      <w:pPr>
        <w:pStyle w:val="Heading1"/>
      </w:pPr>
      <w:r>
        <w:t>2. Validation scope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The scope is defined in [QCLabOne 2.0 Project Scope Statement](006_Project_Scope_Statement.md) and includes the configurable application, custom interfaces, site configuration, calculations/reports, data migration, production baseline, SOP/training and legacy-retirement dependencies.</w:t>
      </w:r>
    </w:p>
    <w:p>
      <w:pPr>
        <w:pStyle w:val="Heading1"/>
      </w:pPr>
      <w:r>
        <w:t>3. Validation approach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231"/>
        <w:gridCol w:w="6129"/>
      </w:tblGrid>
      <w:tr>
        <w:trPr>
          <w:tblHeader w:val="true"/>
        </w:trPr>
        <w:tc>
          <w:tcPr>
            <w:tcW w:type="dxa" w:w="323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Area</w:t>
            </w:r>
          </w:p>
        </w:tc>
        <w:tc>
          <w:tcPr>
            <w:tcW w:type="dxa" w:w="6129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Approach</w:t>
            </w:r>
          </w:p>
        </w:tc>
      </w:tr>
      <w:tr>
        <w:tc>
          <w:tcPr>
            <w:tcW w:type="dxa" w:w="32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Supplier evidence</w:t>
            </w:r>
          </w:p>
        </w:tc>
        <w:tc>
          <w:tcPr>
            <w:tcW w:type="dxa" w:w="61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Leverage assessed standard product SDLC, platform qualification and baseline functional tests</w:t>
            </w:r>
          </w:p>
        </w:tc>
      </w:tr>
      <w:tr>
        <w:tc>
          <w:tcPr>
            <w:tcW w:type="dxa" w:w="32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 configuration</w:t>
            </w:r>
          </w:p>
        </w:tc>
        <w:tc>
          <w:tcPr>
            <w:tcW w:type="dxa" w:w="61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Company-approved specification and risk-based OQ</w:t>
            </w:r>
          </w:p>
        </w:tc>
      </w:tr>
      <w:tr>
        <w:tc>
          <w:tcPr>
            <w:tcW w:type="dxa" w:w="32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Custom integrations</w:t>
            </w:r>
          </w:p>
        </w:tc>
        <w:tc>
          <w:tcPr>
            <w:tcW w:type="dxa" w:w="61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Development plan, code review, unit test, FAT/SAT and interface verification</w:t>
            </w:r>
          </w:p>
        </w:tc>
      </w:tr>
      <w:tr>
        <w:tc>
          <w:tcPr>
            <w:tcW w:type="dxa" w:w="32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Business processes</w:t>
            </w:r>
          </w:p>
        </w:tc>
        <w:tc>
          <w:tcPr>
            <w:tcW w:type="dxa" w:w="61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Representative PQ/UAT by trained QC users</w:t>
            </w:r>
          </w:p>
        </w:tc>
      </w:tr>
      <w:tr>
        <w:tc>
          <w:tcPr>
            <w:tcW w:type="dxa" w:w="32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Data migration</w:t>
            </w:r>
          </w:p>
        </w:tc>
        <w:tc>
          <w:tcPr>
            <w:tcW w:type="dxa" w:w="61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Two trial cycles plus production reconciliation and exception management</w:t>
            </w:r>
          </w:p>
        </w:tc>
      </w:tr>
      <w:tr>
        <w:tc>
          <w:tcPr>
            <w:tcW w:type="dxa" w:w="32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Electronic records/signatures</w:t>
            </w:r>
          </w:p>
        </w:tc>
        <w:tc>
          <w:tcPr>
            <w:tcW w:type="dxa" w:w="61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Dedicated Part 11/Annex 11, audit trail and e-signature assessment/testing</w:t>
            </w:r>
          </w:p>
        </w:tc>
      </w:tr>
      <w:tr>
        <w:tc>
          <w:tcPr>
            <w:tcW w:type="dxa" w:w="32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Infrastructure</w:t>
            </w:r>
          </w:p>
        </w:tc>
        <w:tc>
          <w:tcPr>
            <w:tcW w:type="dxa" w:w="61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Supplier qualification plus IQ of site gateway, connectivity, identity, backup and monitoring</w:t>
            </w:r>
          </w:p>
        </w:tc>
      </w:tr>
      <w:tr>
        <w:tc>
          <w:tcPr>
            <w:tcW w:type="dxa" w:w="32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Operation</w:t>
            </w:r>
          </w:p>
        </w:tc>
        <w:tc>
          <w:tcPr>
            <w:tcW w:type="dxa" w:w="61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SOPs, training, handover, baseline and first-year review evidence</w:t>
            </w:r>
          </w:p>
        </w:tc>
      </w:tr>
    </w:tbl>
    <w:p>
      <w:pPr>
        <w:spacing w:after="80"/>
      </w:pPr>
    </w:p>
    <w:p>
      <w:pPr>
        <w:pStyle w:val="Heading1"/>
      </w:pPr>
      <w:r>
        <w:t>4. Deliverables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Applicable deliverables are listed in the Master Deliverable List. Documents may be combined only through approved change to this plan; traceability and approval requirements shall remain satisfied.</w:t>
      </w:r>
    </w:p>
    <w:p>
      <w:pPr>
        <w:pStyle w:val="Heading1"/>
      </w:pPr>
      <w:r>
        <w:t>5. Risk and traceability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PRA and DIRA establish early controls. FRA links functional hazards to URS and verification. The initial RTM is established after design; the final RTM must show every approved URS covered by passing evidence or an approved rationale.</w:t>
      </w:r>
    </w:p>
    <w:p>
      <w:pPr>
        <w:pStyle w:val="Heading1"/>
      </w:pPr>
      <w:r>
        <w:t>6. Test governance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Test scripts require objective preconditions, steps, expected result and evidence reference.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Testers shall be trained and independent of the specific configuration where practicable.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Critical functions use scripted challenge tests; lower-risk usability observations may use unscripted UAT with recorded results.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Test data shall be synthetic and uniquely identified.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Failed expected results are recorded as defects/deviations; correction and retest evidence remain linked.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Production data shall not be used in non-production environments without approved masking.</w:t>
      </w:r>
    </w:p>
    <w:p>
      <w:pPr>
        <w:pStyle w:val="Heading1"/>
      </w:pPr>
      <w:r>
        <w:t>7. Acceptance and release criteria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Criterion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Requirement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Requirements coverage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100% of Must URS have approved passing coverage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Critical/high risk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Control verified; no unacceptable residual risk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Defects/deviations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 Critical/High open; Medium items formally assessed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Migration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Counts and critical fields accepted; no critical unresolved exception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Training/SOP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 and complete before production access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Backup/DR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Restore and DR evidence meets approved objectives or accepted exception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Production baseline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Configuration/version/checksum documented and approved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Quality conclusion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VSR and release approval</w:t>
            </w:r>
          </w:p>
        </w:tc>
      </w:tr>
    </w:tbl>
    <w:p>
      <w:pPr>
        <w:spacing w:after="80"/>
      </w:pPr>
    </w:p>
    <w:p>
      <w:pPr>
        <w:pStyle w:val="Heading1"/>
      </w:pPr>
      <w:r>
        <w:t>8. Schedule and gates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Design baseline: 2026-10-31; FAT: 2027-01-25; SAT: 2027-02-20; IQ/OQ/PQ: 2027-03-01 to 2027-04-30; VSR: 2027-06-05; go-live: 2027-06-15.</w:t>
      </w:r>
    </w:p>
    <w:p>
      <w:pPr>
        <w:pStyle w:val="Heading1"/>
      </w:pPr>
      <w:r>
        <w:t>9.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Governing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SOP-CSV-001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[Site Computerised System Lifecycle Management Procedure](001_CSV_Lifecycle_Management_Procedure.md)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Governing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VMP-SZ-001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[Site Validation Master Plan](002_Validation_Master_Plan.md)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QCL-2026-RACI-001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CSV RACI and Responsibilities Matrix](004_CSV_RACI_and_Responsibilities_Matrix.md)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QCL-2026-CHA-001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Project Charter](005_Project_Charter.md)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QCL-2026-SCP-001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Project Scope Statement](006_Project_Scope_Statement.md)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QCL-2026-IUS-001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Intended Use Statement](007_Intended_Use_Statement.md)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QCL-2026-GXP-001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GxP Impact Assessment](009_GxP_Impact_Assessment.md)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QCL-2026-CLA-001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[System Classification and Criticality Assessment](010_System_Classification_and_Criticality_Assessment.md)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QCL-2026-PRA-001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[Preliminary Risk Assessment](011_Preliminary_Risk_Assessment.md)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QCL-2026-DIRA-001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Integrity Risk Assessment](012_Data_Integrity_Risk_Assessment.md)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QCL-2026-ERES-001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[21 CFR Part 11 and EU Annex 11 Assessment](013_21_CFR_Part_11_and_EU_Annex_11_Assessment.md)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QCL-2026-CYB-001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[Cybersecurity and Privacy Impact Assessment](014_Cybersecurity_and_Privacy_Impact_Assessment.md)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QCL-2026-MDL-001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[Master Deliverable List and Schedule](016_Master_Deliverable_List_and_Schedule.md)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QCL-2026-RFP-001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[RFI, RFP and Product Selection Record](017_RFI_RFP_and_Product_Selection_Record.md)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QCL-2026-SQA-001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[Supplier Qualification Assessment](018_Supplier_Qualification_Assessment.md)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QCL-2026-SAR-001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[Supplier Audit Report and CAPA](019_Supplier_Audit_Report_and_CAPA.md)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QCL-2026-QTA-001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[Quality/Technical Agreement and Service Level Agreement](020_Quality_Technical_Agreement_and_SLA.md)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QCL-2026-SDL-001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[Supplier Documentation Leveraging Assessment](021_Supplier_Documentation_Leveraging_Assessment.md)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QCL-2026-URS-001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[User Requirements Specification](022_User_Requirements_Specification.md)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QCL-2026-FS-001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[Functional Specification](023_Functional_Specification.md)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[System Design Specification](024_System_Design_Specification.md)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[Configuration Specification](025_Configuration_Specification.md)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QCL-2026-IAD-001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[Infrastructure and Architecture Design](026_Infrastructure_and_Architecture_Design.md)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QCL-2026-ICS-001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[Interface Control Specification](027_Interface_Control_Specification.md)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QCL-2026-DDS-001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Flow, Data Dictionary and Metadata Specification](028_Data_Flow_Data_Dictionary_and_Metadata_Specification.md)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QCL-2026-RCS-001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[Report and Calculation Specification](029_Report_and_Calculation_Specification.md)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QCL-2026-MDS-001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[Master Data Specification](030_Master_Data_Specification.md)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QCL-2026-RAC-001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[Role and Access Control Matrix](031_Role_and_Access_Control_Matrix.md)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QCL-2026-ATS-001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[Audit Trail Specification](032_Audit_Trail_Specification.md)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QCL-2026-ESS-001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[Electronic Signature Specification](033_Electronic_Signature_Specification.md)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QCL-2026-BRS-001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[Backup and Restore Specification](034_Backup_and_Restore_Specification.md)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QCL-2026-BCP-001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[Business Continuity and Disaster Recovery Plan](035_Business_Continuity_and_Disaster_Recovery_Plan.md)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QCL-2026-DMP-001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Migration Strategy and Plan](036_Data_Migration_Strategy_and_Plan.md)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QCL-2026-DMS-001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Mapping, Cleansing and Transformation Specification](037_Data_Mapping_Cleansing_and_Transformation_Specification.md)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QCL-2026-FRA-001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[Functional Risk Assessment](038_Functional_Risk_Assessment.md)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QCL-2026-RTM-001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[Initial Requirements Traceability Matrix](039_Initial_Requirements_Traceability_Matrix.md)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QCL-2026-BLD-001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[Installation, Build and Configuration Record](040_Installation_Build_and_Configuration_Record.md)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QCL-2026-CIR-001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[Configuration Item and Version Register](041_Configuration_Item_and_Version_Register.md)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QCL-2026-SDP-001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[Software Development and Source Control Plan](042_Software_Development_and_Source_Control_Plan.md)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QCL-2026-CRU-001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[Code Review and Unit Test Report](043_Code_Review_and_Unit_Test_Report.md)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QCL-2026-FAT-001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[Factory Acceptance Test Protocol and Report](044_Factory_Acceptance_Test_Protocol_and_Report.md)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QCL-2026-SAT-001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[Site Acceptance Test Protocol and Report](045_Site_Acceptance_Test_Protocol_and_Report.md)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QCL-2026-VTP-001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[Validation Test Plan and Strategy](046_Validation_Test_Plan_and_Strategy.md)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QCL-2026-MTS-001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[Master Test Scripts and Test Data Catalogue](047_Master_Test_Scripts_and_Test_Data_Catalogue.md)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QCL-2026-IQ-001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[Installation Qualification Protocol and Report](048_Installation_Qualification_Protocol_and_Report.md)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QCL-2026-OQ-001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[Operational Qualification Protocol and Report](049_Operational_Qualification_Protocol_and_Report.md)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QCL-2026-PQ-001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[Performance Qualification and User Acceptance Test Report](050_Performance_Qualification_and_UAT_Report.md)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QCL-2026-IFT-001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[Interface Test Protocol and Report](051_Interface_Test_Protocol_and_Report.md)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QCL-2026-DMT-001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Migration Test and Reconciliation Report](052_Data_Migration_Test_and_Reconciliation_Report.md)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QCL-2026-SEC-001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[Security, Access and Segregation of Duties Test Report](053_Security_Access_and_Segregation_of_Duties_Test.md)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QCL-2026-ATC-001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[Audit Trail Challenge Test Report](054_Audit_Trail_Challenge_Test_Report.md)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QCL-2026-EST-001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[Electronic Signature Test Report](055_Electronic_Signature_Test_Report.md)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QCL-2026-BRT-001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[Backup and Restore Test Report](056_Backup_and_Restore_Test_Report.md)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QCL-2026-PLC-001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[Performance, Load and Capacity Test Report](057_Performance_Load_and_Capacity_Test_Report.md)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QCL-2026-DRT-001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[Failover and Disaster Recovery Test Report](058_Failover_and_Disaster_Recovery_Test_Report.md)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QCL-2026-RPT-001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[Report, Print and Export Verification Report](059_Report_Print_and_Export_Verification_Report.md)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QCL-2026-DEF-001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[Defect Log and Resolution Report](060_Defect_Log_and_Resolution_Report.md)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QCL-2026-DEV-001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[Validation Deviation Log and Investigation Report](061_Validation_Deviation_Log_and_Investigation_Report.md)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QCL-2026-CAPA-001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[CAPA Record and Effectiveness Check](062_CAPA_Record_and_Effectiveness_Check.md)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QCL-2026-TSR-001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[Test Summary Report](063_Test_Summary_Report.md)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QCL-2026-RTM-002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[Final Requirements Traceability Matrix](064_Final_Requirements_Traceability_Matrix.md)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QCL-2026-VSR-001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[Validation Summary Report](065_Validation_Summary_Report.md)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60"/>
        <w:gridCol w:w="3038"/>
        <w:gridCol w:w="3162"/>
      </w:tblGrid>
      <w:tr>
        <w:trPr>
          <w:tblHeader w:val="true"/>
        </w:trPr>
        <w:tc>
          <w:tcPr>
            <w:tcW w:type="dxa" w:w="31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3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1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CSV Project Manager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 Business Process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Validation Manager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2026-05-15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QCL-2026-VP-001 | Version 1.0 | Approved in fictional case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QCL-2026-VP-001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QCLabOne 2.0 Project Validation Plan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