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RFI, RFP and Product Selection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QCL-2026-RFP-001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Management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QCL-2026-RFP-001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Management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Procurement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project sought a configurable LIMS/LES capable of supporting regulated QC workflows, electronic records/signatures, data integrity, integrations, migration and vendor-hosted operation.</w:t>
      </w:r>
    </w:p>
    <w:p>
      <w:pPr>
        <w:pStyle w:val="Heading1"/>
      </w:pPr>
      <w:r>
        <w:t>2. RFP mandatory requirements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7800"/>
      </w:tblGrid>
      <w:tr>
        <w:trPr>
          <w:tblHeader w:val="true"/>
        </w:trPr>
        <w:tc>
          <w:tcPr>
            <w:tcW w:type="dxa" w:w="15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7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Mandatory condition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GxP/CSV</w:t>
            </w:r>
          </w:p>
        </w:tc>
        <w:tc>
          <w:tcPr>
            <w:tcW w:type="dxa" w:w="7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Documented SDLC, configurable controls, audit trail, electronic signature and exportable evidence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</w:t>
            </w:r>
          </w:p>
        </w:tc>
        <w:tc>
          <w:tcPr>
            <w:tcW w:type="dxa" w:w="7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Chemistry, microbiology, stability, LES, specifications, calculations and reporting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Integration</w:t>
            </w:r>
          </w:p>
        </w:tc>
        <w:tc>
          <w:tcPr>
            <w:tcW w:type="dxa" w:w="7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REST/SFTP/message-queue support for SAP, eQMS, CDS and instruments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</w:t>
            </w:r>
          </w:p>
        </w:tc>
        <w:tc>
          <w:tcPr>
            <w:tcW w:type="dxa" w:w="7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Customer ownership, complete export, migration tools, archive compatibility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</w:t>
            </w:r>
          </w:p>
        </w:tc>
        <w:tc>
          <w:tcPr>
            <w:tcW w:type="dxa" w:w="7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Dedicated tenant, encryption, SSO/MFA, vulnerability and incident management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Service</w:t>
            </w:r>
          </w:p>
        </w:tc>
        <w:tc>
          <w:tcPr>
            <w:tcW w:type="dxa" w:w="7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24×7 critical support, formal change notice, RTO/RPO and termination assistance</w:t>
            </w:r>
          </w:p>
        </w:tc>
      </w:tr>
    </w:tbl>
    <w:p>
      <w:pPr>
        <w:spacing w:after="80"/>
      </w:pPr>
    </w:p>
    <w:p>
      <w:pPr>
        <w:pStyle w:val="Heading1"/>
      </w:pPr>
      <w:r>
        <w:t>3. Product evaluation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864"/>
        <w:gridCol w:w="1296"/>
        <w:gridCol w:w="2592"/>
        <w:gridCol w:w="2016"/>
      </w:tblGrid>
      <w:tr>
        <w:trPr>
          <w:tblHeader w:val="true"/>
        </w:trPr>
        <w:tc>
          <w:tcPr>
            <w:tcW w:type="dxa" w:w="25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Criterion</w:t>
            </w:r>
          </w:p>
        </w:tc>
        <w:tc>
          <w:tcPr>
            <w:tcW w:type="dxa" w:w="86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Weight</w:t>
            </w:r>
          </w:p>
        </w:tc>
        <w:tc>
          <w:tcPr>
            <w:tcW w:type="dxa" w:w="129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LabSphere</w:t>
            </w:r>
          </w:p>
        </w:tc>
        <w:tc>
          <w:tcPr>
            <w:tcW w:type="dxa" w:w="25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QualityLab Systems</w:t>
            </w:r>
          </w:p>
        </w:tc>
        <w:tc>
          <w:tcPr>
            <w:tcW w:type="dxa" w:w="201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OmniLIMS Cloud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Functional fit</w:t>
            </w:r>
          </w:p>
        </w:tc>
        <w:tc>
          <w:tcPr>
            <w:tcW w:type="dxa" w:w="8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30%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24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22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integrity/Part 11 controls</w:t>
            </w:r>
          </w:p>
        </w:tc>
        <w:tc>
          <w:tcPr>
            <w:tcW w:type="dxa" w:w="8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20%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17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16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Integration and migration</w:t>
            </w:r>
          </w:p>
        </w:tc>
        <w:tc>
          <w:tcPr>
            <w:tcW w:type="dxa" w:w="8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15%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12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11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quality/validation evidence</w:t>
            </w:r>
          </w:p>
        </w:tc>
        <w:tc>
          <w:tcPr>
            <w:tcW w:type="dxa" w:w="8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15%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11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12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Security/service resilience</w:t>
            </w:r>
          </w:p>
        </w:tc>
        <w:tc>
          <w:tcPr>
            <w:tcW w:type="dxa" w:w="8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10%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8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Commercial/implementation risk</w:t>
            </w:r>
          </w:p>
        </w:tc>
        <w:tc>
          <w:tcPr>
            <w:tcW w:type="dxa" w:w="8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10%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9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7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Weighted total</w:t>
            </w:r>
          </w:p>
        </w:tc>
        <w:tc>
          <w:tcPr>
            <w:tcW w:type="dxa" w:w="8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92/100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81/100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76/100</w:t>
            </w:r>
          </w:p>
        </w:tc>
      </w:tr>
    </w:tbl>
    <w:p>
      <w:pPr>
        <w:spacing w:after="80"/>
      </w:pPr>
    </w:p>
    <w:p>
      <w:pPr>
        <w:pStyle w:val="Heading1"/>
      </w:pPr>
      <w:r>
        <w:t>4. Proof-of-concept results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LabSphere demonstrated SAP sample intake, LES sequence enforcement, CDS approved-result transfer, audit trail export, e-signature re-authentication, historical specification retention and a sample migration. Two gaps were identified: standard eQMS connector required custom idempotency logic, and the standard archive export required a site-specific metadata manifest. Both were accepted as controlled custom deliverables.</w:t>
      </w:r>
    </w:p>
    <w:p>
      <w:pPr>
        <w:pStyle w:val="Heading1"/>
      </w:pPr>
      <w:r>
        <w:t>5. Selection decision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LabSphere Technologies Ltd. was selected on 2026-04-15, subject to supplier audit closure and execution of the quality/technical agreement. No product was selected solely on commercial score.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QCL-2026-CHA-001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Charter](005_Project_Charter.md)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Scope Statement](006_Project_Scope_Statement.md)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QCL-2026-IUS-001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Intended Use Statement](007_Intended_Use_Statement.md)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QCL-2026-GXP-001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GxP Impact Assessment](009_GxP_Impact_Assessment.md)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Classification and Criticality Assessment](010_System_Classification_and_Criticality_Assessment.md)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QCL-2026-SQA-001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Qualification Assessment](018_Supplier_Qualification_Assessment.md)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Audit Report and CAPA](019_Supplier_Audit_Report_and_CAPA.md)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Documentation Leveraging Assessment](021_Supplier_Documentation_Leveraging_Assessment.md)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Quality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QCL-2026-RFP-001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QCL-2026-RFP-001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RFI, RFP and Product Selection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