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Quality/Technical Agreement and Service Level Agreement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Agreement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records the agreed quality, technical and service responsibilities between NovaSterile Pharma Co., Ltd. and LabSphere Technologies Ltd. for the QCLabOne service. The executed legal agreement controls; this record captures the CSV-relevant terms used by the fictional case.</w:t>
      </w:r>
    </w:p>
    <w:p>
      <w:pPr>
        <w:pStyle w:val="Heading1"/>
      </w:pPr>
      <w:r>
        <w:t>2. Responsibility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500"/>
        <w:gridCol w:w="3527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Company</w:t>
            </w:r>
          </w:p>
        </w:tc>
        <w:tc>
          <w:tcPr>
            <w:tcW w:type="dxa" w:w="352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Supplier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Intended use, URS and GxP risk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Accountable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Consulted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Standard product SDLC and release qualification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Reviews/leverages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Accountable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configuration approval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Accountable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Configures/provides evidence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Custom interface design/code/test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Approves and accepts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Responsible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hosting, database and platform monitoring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Oversight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Accountable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 access approval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Accountable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access without request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remote access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Approves ticket/window; reviews session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Enforces time limit and records activity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Backup/DR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Defines requirements and reviews tests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Operates and demonstrates controls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Incident/security notification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Assesses GxP impact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Notifies and investigates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Change notification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Performs impact assessment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Provides notice/release evidence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ownership/retention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Accountable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Processes as instructed; no secondary use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Termination/data return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Accepts export and archive</w:t>
            </w:r>
          </w:p>
        </w:tc>
        <w:tc>
          <w:tcPr>
            <w:tcW w:type="dxa" w:w="3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Provides complete readable export and deletion certificate</w:t>
            </w:r>
          </w:p>
        </w:tc>
      </w:tr>
    </w:tbl>
    <w:p>
      <w:pPr>
        <w:spacing w:after="80"/>
      </w:pPr>
    </w:p>
    <w:p>
      <w:pPr>
        <w:pStyle w:val="Heading1"/>
      </w:pPr>
      <w:r>
        <w:t>3. Service levels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83"/>
        <w:gridCol w:w="5477"/>
      </w:tblGrid>
      <w:tr>
        <w:trPr>
          <w:tblHeader w:val="true"/>
        </w:trPr>
        <w:tc>
          <w:tcPr>
            <w:tcW w:type="dxa" w:w="388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Service</w:t>
            </w:r>
          </w:p>
        </w:tc>
        <w:tc>
          <w:tcPr>
            <w:tcW w:type="dxa" w:w="547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Target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availability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≥99.9% monthly excluding approved maintenance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P1 acknowledgement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 minutes, 24×7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P1 restoration/workaround target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 hours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RPO/RTO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 minutes / 8 hours for declared disaster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Planned maintenance notice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≥30 calendar days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Functional release notice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≥90 calendar days where practicable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security incident notification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Within 4 hours of confirmed/suspected customer GxP impact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vulnerability remediation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Risk-based; target 15 days, compensating control documented if longer</w:t>
            </w:r>
          </w:p>
        </w:tc>
      </w:tr>
      <w:tr>
        <w:tc>
          <w:tcPr>
            <w:tcW w:type="dxa" w:w="3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export after termination request</w:t>
            </w:r>
          </w:p>
        </w:tc>
        <w:tc>
          <w:tcPr>
            <w:tcW w:type="dxa" w:w="5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Within 30 days</w:t>
            </w:r>
          </w:p>
        </w:tc>
      </w:tr>
    </w:tbl>
    <w:p>
      <w:pPr>
        <w:spacing w:after="80"/>
      </w:pPr>
    </w:p>
    <w:p>
      <w:pPr>
        <w:pStyle w:val="Heading1"/>
      </w:pPr>
      <w:r>
        <w:t>4. Records and audit rights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Supplier shall retain product release evidence, access/session logs, incident/change records, backup/DR evidence and customer data-processing records for the contracted period and make relevant evidence available to the company and inspectors. The company may audit for cause or periodically based on risk.</w:t>
      </w:r>
    </w:p>
    <w:p>
      <w:pPr>
        <w:pStyle w:val="Heading1"/>
      </w:pPr>
      <w:r>
        <w:t>5. Escalation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P1 events escalate to Supplier Incident Commander, Company IT Duty Manager, System Owner and QA. Any potential data loss, unauthorised access, audit-trail failure or signature failure is treated as potential GxP impact until assessed.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QCL-2026-SQA-001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Qualification Assessment](018_Supplier_Qualification_Assessment.md)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Audit Report and CAPA](019_Supplier_Audit_Report_and_CAPA.md)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Handover and Support Model](076_System_Handover_and_Support_Model.md)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Quality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QCL-2026-QTA-001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QCL-2026-QTA-001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Quality/Technical Agreement and Service Level Agreement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