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Functional Specification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specification describes the functional behaviour that will satisfy the approved URS. Detailed implementation parameters are controlled in the design and configuration specifications.</w:t>
      </w:r>
    </w:p>
    <w:p>
      <w:pPr>
        <w:pStyle w:val="Heading1"/>
      </w:pPr>
      <w:r>
        <w:t>2. Functional requirements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97"/>
        <w:gridCol w:w="2993"/>
        <w:gridCol w:w="2176"/>
        <w:gridCol w:w="2994"/>
      </w:tblGrid>
      <w:tr>
        <w:trPr>
          <w:tblHeader w:val="true"/>
        </w:trPr>
        <w:tc>
          <w:tcPr>
            <w:tcW w:type="dxa" w:w="119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Function ID</w:t>
            </w:r>
          </w:p>
        </w:tc>
        <w:tc>
          <w:tcPr>
            <w:tcW w:type="dxa" w:w="299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Function</w:t>
            </w:r>
          </w:p>
        </w:tc>
        <w:tc>
          <w:tcPr>
            <w:tcW w:type="dxa" w:w="217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URS coverage</w:t>
            </w:r>
          </w:p>
        </w:tc>
        <w:tc>
          <w:tcPr>
            <w:tcW w:type="dxa" w:w="299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Functional behaviour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FS-GEN-001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Environment identification and production baseline control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URS-GEN-003, URS-GEN-005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Application banner displays environment/version; deployment requires approved release package.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FS-GEN-002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Unique identifiers and synchronized timestamps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URS-GEN-002, URS-GEN-004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Database sequences generate immutable IDs; all services synchronize to corporate NTP.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FS-GEN-003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In-scope QC business process enablement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URS-GEN-001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Configured modules and workflows support chemistry, microbiology, stability and environmental monitoring.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FS-SMP-001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SAP sample request intake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URS-SMP-001, URS-INT-001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Gateway validates schema, checks idempotency and creates a pending request.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FS-SMP-002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Sample ID and barcode generation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URS-SMP-002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LIMS assigns QCL-YYYY-NNNNNNN and Code 128 barcode.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FS-SMP-003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Receipt and chain of custody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URS-SMP-003, URS-SMP-004, URS-SMP-007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Receipt and custody events require user, timestamp, location, quantity and reason where applicable.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FS-SMP-004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assignment and sample completion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URS-SMP-005, URS-SMP-006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 specification creates required tests; closure is blocked while mandatory tasks/investigations remain open.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FS-SMP-005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Stability scheduling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URS-SMP-008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Protocol-derived pull dates, windows and alerts are generated nightly.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FS-SPEC-001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Specification and method lifecycle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URS-SPEC-001, URS-SPEC-002, URS-SPEC-003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Draft-review-approve-effective-obsolete states with effective dating and immutable history.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FS-SPEC-002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Result type and limit configuration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URS-SPEC-004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Numeric, text, enumerated and qualitative types support configured validation and limits.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FS-SPEC-003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Production promotion approval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URS-SPEC-005, URS-GEN-005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change record and electronic approval are prerequisites for promotion.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FS-LES-001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Controlled electronic worksheet execution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URS-LES-001, URS-LES-002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Only approved versions are executable; mandatory steps enforce sequence and completion.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FS-LES-002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Resource references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URS-LES-003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Reagent, standard, instrument and lot are selected from effective master data.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FS-LES-003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Direct instrument capture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URS-LES-004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Gateway associates device message with active test and retains source metadata.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FS-LES-004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Manual entry and verification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URS-LES-005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Manual critical values require reason and independent verifier.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FS-LES-005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Pause/abort/repeat and exception workflow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URS-LES-006, URS-LES-008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Controlled states require reason and supervisor action; dashboards show exceptions.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FS-LES-006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Second-person review segregation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URS-LES-007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Workflow engine prevents submitter from final review/approval.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FS-CALC-001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Formula execution and unit handling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URS-CALC-001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Versioned calculation service executes approved formulas with dimensional checks.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FS-CALC-002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Rounding and significant figures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URS-CALC-002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Rounding occurs only at configured display/final step using half-up rules unless specified.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FS-CALC-003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Formula history and limit evaluation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URS-CALC-003, URS-CALC-004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 stores formula version and evaluates effective limit set.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FS-CALC-004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Calculation change control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URS-CALC-005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Formula changes require approved configuration package and regression evidence.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FS-INT-001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SAP bidirectional interface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URS-INT-001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Inbound sample and outbound status/result messages use unique message IDs and acknowledgements.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FS-INT-002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eQMS OOS/OOT interface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URS-INT-002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Idempotent REST message creates one case and stores returned case ID/status.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FS-INT-003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CDS/SDMS approved-result interface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URS-INT-003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receives approved numeric result, unit, sequence ID, method version and stable source link.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FS-INT-004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Instrument exception handling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URS-INT-004, URS-INT-005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Malformed/duplicate messages enter a controlled queue with error and reprocessing history.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FS-INT-005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Manual contingency processing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URS-INT-006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outage mode labels manually entered data and requires independent reconciliation.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FS-SEC-001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Corporate authentication and individual identity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URS-SEC-001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SAML federation uses unique corporate identity; local interactive accounts are disabled except break-glass accounts.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FS-SEC-002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Role-based authorization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URS-SEC-002, URS-SEC-003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Permissions are assigned through approved roles; admin and QC approval privileges are mutually exclusive.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FS-SEC-003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Session and account lifecycle controls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URS-SEC-004, URS-SEC-005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15-minute lock; approved request controls create/change/disable actions.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FS-SEC-004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remote support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URS-SEC-006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Just-in-time access requires company ticket, MFA, time window and session logging.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FS-SEC-005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Security event logging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URS-SEC-007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Failed logins, lockouts, role changes and privileged actions are reportable.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FS-DI-001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Protected audit trail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URS-DI-001, URS-DI-003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Database audit service is always on; no application role can alter entries.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FS-DI-002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Reason for change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URS-DI-002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Critical changes require selection from controlled reason list plus optional comment.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FS-DI-003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 trail review/export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URS-DI-004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Authorized filters and PDF/CSV exports preserve source identifiers and criteria.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FS-DI-004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Retention, deletion and archive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URS-DI-005, URS-DI-006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Purge disabled for routine roles; archive job preserves data, metadata, audit and attachments.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FS-DI-005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Transfer/migration reconciliation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URS-DI-007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Count, hash, critical-field and relationship controls generate reconciliation reports.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FS-DI-006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Time control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URS-DI-008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NTP sync alarms at &gt;60 seconds drift; timezone configuration is change-controlled.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FS-ESIG-001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Signature identity and re-authentication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URS-ESIG-001, URS-ESIG-003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Signature uses individual identity and credential re-entry for submit/review/approve.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FS-ESIG-002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Signature manifestation and binding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URS-ESIG-002, URS-ESIG-004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Name, time and meaning display; post-signature critical change invalidates approval and re-routes workflow.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FS-REP-001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Controlled reports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URS-REP-001, URS-REP-002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templates generate reports with record and template metadata.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FS-REP-002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PDF/print/export fidelity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URS-REP-003, URS-REP-004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Rendered output retains units, pagination, signatures and query criteria.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FS-BCP-001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 and restore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URS-BCP-001, URS-BCP-003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Encrypted backups cover database, configuration and attachments; restore procedure verifies consistency.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FS-BCP-002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Disaster recovery and continuity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URS-BCP-002, URS-BCP-004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Standby region supports RPO 15 min/RTO 8 h; controlled manual forms support outage.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FS-MIG-001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Migration and archive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URS-MIG-001, URS-MIG-002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ETL and archive paths use approved mapping, validation and read-only retention.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FS-MIG-002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Migration exceptions and source protection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URS-MIG-003, URS-MIG-004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Exception log requires disposition; source remains read-only and backed up until acceptance.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FS-OPS-001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Operational evidence and periodic review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URS-OPS-001, URS-OPS-003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Reports and schedules support access/audit/backup review and annual validated-state assessment.</w:t>
            </w:r>
          </w:p>
        </w:tc>
      </w:tr>
      <w:tr>
        <w:tc>
          <w:tcPr>
            <w:tcW w:type="dxa" w:w="11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FS-OPS-002</w:t>
            </w:r>
          </w:p>
        </w:tc>
        <w:tc>
          <w:tcPr>
            <w:tcW w:type="dxa" w:w="2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notification and retirement</w:t>
            </w:r>
          </w:p>
        </w:tc>
        <w:tc>
          <w:tcPr>
            <w:tcW w:type="dxa" w:w="21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URS-OPS-002, URS-OPS-004</w:t>
            </w:r>
          </w:p>
        </w:tc>
        <w:tc>
          <w:tcPr>
            <w:tcW w:type="dxa" w:w="29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Quality agreement routes notices; retirement workflow requires archive and decommissioning approvals.</w:t>
            </w:r>
          </w:p>
        </w:tc>
      </w:tr>
    </w:tbl>
    <w:p>
      <w:pPr>
        <w:spacing w:after="80"/>
      </w:pPr>
    </w:p>
    <w:p>
      <w:pPr>
        <w:pStyle w:val="Heading1"/>
      </w:pPr>
      <w:r>
        <w:t>3. Cross-cutting functional rules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All GxP state changes are attributable to an individual or approved service account.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Historical effective versions remain linked to completed records.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Interface processing is idempotent and exceptions are visible.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Post-signature changes invalidate affected approval as configured.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Routine users cannot delete GxP records or audit trails.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Application errors display a user-safe message and create diagnostic logs without exposing secrets.</w:t>
      </w:r>
    </w:p>
    <w:p>
      <w:pPr>
        <w:pStyle w:val="Heading1"/>
      </w:pPr>
      <w:r>
        <w:t>4.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QCL-2026-DIRA-001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Risk Assessment](012_Data_Integrity_Risk_Assessment.md)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QCL-2026-SDL-001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Documentation Leveraging Assessment](021_Supplier_Documentation_Leveraging_Assessment.md)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Design Specification](024_System_Design_Specification.md)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Specification](025_Configuration_Specification.md)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Control Specification](027_Interface_Control_Specification.md)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[Report and Calculation Specification](029_Report_and_Calculation_Specification.md)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Data Specification](030_Master_Data_Specification.md)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QCL-2026-ATS-001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[Audit Trail Specification](032_Audit_Trail_Specification.md)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QCL-2026-ESS-001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[Electronic Signature Specification](033_Electronic_Signature_Specification.md)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QCL-2026-RTM-001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[Initial Requirements Traceability Matrix](039_Initial_Requirements_Traceability_Matrix.md)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Solution Architect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CSV Lead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QCL-2026-FS-001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QCL-2026-FS-001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Specification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